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94957" w14:textId="77777777" w:rsidR="003D3710" w:rsidRDefault="003D3710" w:rsidP="00AA161F">
      <w:pPr>
        <w:pStyle w:val="NoSpacing"/>
        <w:jc w:val="center"/>
        <w:rPr>
          <w:b/>
        </w:rPr>
      </w:pPr>
    </w:p>
    <w:p w14:paraId="2362405C" w14:textId="354F6D2A" w:rsidR="009E3B64" w:rsidRDefault="00AA161F" w:rsidP="00AA161F">
      <w:pPr>
        <w:pStyle w:val="NoSpacing"/>
        <w:jc w:val="center"/>
        <w:rPr>
          <w:b/>
        </w:rPr>
      </w:pPr>
      <w:r w:rsidRPr="00AA161F">
        <w:rPr>
          <w:b/>
        </w:rPr>
        <w:t>City College Norwich</w:t>
      </w:r>
    </w:p>
    <w:p w14:paraId="67968632" w14:textId="14A723E7" w:rsidR="00AA161F" w:rsidRDefault="00AA161F" w:rsidP="00AA161F">
      <w:pPr>
        <w:pStyle w:val="NoSpacing"/>
        <w:jc w:val="center"/>
        <w:rPr>
          <w:b/>
        </w:rPr>
      </w:pPr>
    </w:p>
    <w:p w14:paraId="6B19126F" w14:textId="79804E1A" w:rsidR="00AA161F" w:rsidRDefault="00AA161F" w:rsidP="00AA161F">
      <w:pPr>
        <w:pStyle w:val="NoSpacing"/>
        <w:jc w:val="center"/>
        <w:rPr>
          <w:b/>
        </w:rPr>
      </w:pPr>
      <w:r>
        <w:rPr>
          <w:b/>
        </w:rPr>
        <w:t>GENDER PAY GAP REPORT</w:t>
      </w:r>
    </w:p>
    <w:p w14:paraId="4A4139A0" w14:textId="434C8478" w:rsidR="00AA161F" w:rsidRDefault="00AA161F" w:rsidP="00AA161F">
      <w:pPr>
        <w:pStyle w:val="NoSpacing"/>
        <w:jc w:val="center"/>
      </w:pPr>
    </w:p>
    <w:p w14:paraId="1AAF2FF9" w14:textId="0CF58AC4" w:rsidR="00086917" w:rsidRDefault="000E5EC3" w:rsidP="00AA161F">
      <w:pPr>
        <w:pStyle w:val="NoSpacing"/>
      </w:pPr>
      <w:r>
        <w:rPr>
          <w:b/>
          <w:noProof/>
          <w:u w:val="single"/>
        </w:rPr>
        <w:drawing>
          <wp:anchor distT="0" distB="0" distL="114300" distR="114300" simplePos="0" relativeHeight="251661313" behindDoc="1" locked="0" layoutInCell="1" allowOverlap="1" wp14:anchorId="1021FE6C" wp14:editId="2CF84383">
            <wp:simplePos x="0" y="0"/>
            <wp:positionH relativeFrom="column">
              <wp:posOffset>-86360</wp:posOffset>
            </wp:positionH>
            <wp:positionV relativeFrom="paragraph">
              <wp:posOffset>601980</wp:posOffset>
            </wp:positionV>
            <wp:extent cx="3115310" cy="3023870"/>
            <wp:effectExtent l="0" t="0" r="8890" b="5080"/>
            <wp:wrapNone/>
            <wp:docPr id="803330705" name="Picture 9" descr="A pie chart with numbers and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30705" name="Picture 9" descr="A pie chart with numbers and a numb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302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36B6">
        <w:t>City College Norwich is required by law to publish an annual gender pay gap report.  This report relates to the snapshot date of 31 March 20</w:t>
      </w:r>
      <w:r w:rsidR="00484CEA">
        <w:t>24</w:t>
      </w:r>
      <w:r w:rsidR="009836B6">
        <w:t>.</w:t>
      </w:r>
      <w:r w:rsidR="00CD44B1">
        <w:t xml:space="preserve">  </w:t>
      </w:r>
      <w:r w:rsidR="00086917">
        <w:t>The figures set out in this report</w:t>
      </w:r>
      <w:r w:rsidR="00231795">
        <w:t xml:space="preserve"> have been calculated using the standard methodologies used in the Equality Act 2010 (Gender Pay Gap Information) Regulations 2017.</w:t>
      </w:r>
    </w:p>
    <w:p w14:paraId="20BE5065" w14:textId="6D3B8D9D" w:rsidR="009836B6" w:rsidRDefault="009836B6" w:rsidP="00AA161F">
      <w:pPr>
        <w:pStyle w:val="NoSpacing"/>
      </w:pPr>
    </w:p>
    <w:p w14:paraId="68965FA0" w14:textId="2B19844F" w:rsidR="009836B6" w:rsidRDefault="00D3053C" w:rsidP="00AA161F">
      <w:pPr>
        <w:pStyle w:val="NoSpacing"/>
        <w:rPr>
          <w:b/>
          <w:u w:val="single"/>
        </w:rPr>
      </w:pPr>
      <w:r w:rsidRPr="00D3053C">
        <w:rPr>
          <w:rFonts w:ascii="Aptos" w:eastAsia="Aptos" w:hAnsi="Aptos" w:cs="Times New Roman"/>
          <w:noProof/>
          <w:kern w:val="2"/>
          <w:sz w:val="24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6D8C9444" wp14:editId="4686C7E1">
                <wp:simplePos x="0" y="0"/>
                <wp:positionH relativeFrom="column">
                  <wp:posOffset>2809875</wp:posOffset>
                </wp:positionH>
                <wp:positionV relativeFrom="paragraph">
                  <wp:posOffset>15875</wp:posOffset>
                </wp:positionV>
                <wp:extent cx="3448050" cy="1404620"/>
                <wp:effectExtent l="0" t="0" r="0" b="8890"/>
                <wp:wrapSquare wrapText="bothSides"/>
                <wp:docPr id="1609780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1AA08" w14:textId="0082E063" w:rsidR="00D3053C" w:rsidRPr="00D3053C" w:rsidRDefault="00D3053C" w:rsidP="00D305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8" w:lineRule="auto"/>
                            </w:pPr>
                            <w:r w:rsidRPr="00D3053C">
                              <w:t xml:space="preserve">There were </w:t>
                            </w:r>
                            <w:r w:rsidR="00BE1AFA">
                              <w:t>1,168</w:t>
                            </w:r>
                            <w:r w:rsidRPr="00D3053C">
                              <w:t xml:space="preserve"> paid staff at 31 March 2024.</w:t>
                            </w:r>
                          </w:p>
                          <w:p w14:paraId="3AE4E586" w14:textId="77777777" w:rsidR="00D3053C" w:rsidRPr="00D3053C" w:rsidRDefault="00D3053C" w:rsidP="00D3053C">
                            <w:pPr>
                              <w:pStyle w:val="ListParagraph"/>
                            </w:pPr>
                          </w:p>
                          <w:p w14:paraId="7A461FBE" w14:textId="4E7364AE" w:rsidR="00D3053C" w:rsidRPr="00D3053C" w:rsidRDefault="00D3053C" w:rsidP="00D305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8" w:lineRule="auto"/>
                            </w:pPr>
                            <w:r w:rsidRPr="00D3053C">
                              <w:t>7</w:t>
                            </w:r>
                            <w:r w:rsidR="00BE1AFA">
                              <w:t>31</w:t>
                            </w:r>
                            <w:r w:rsidRPr="00D3053C">
                              <w:t xml:space="preserve"> were female, 4</w:t>
                            </w:r>
                            <w:r w:rsidR="00BE1AFA">
                              <w:t>33</w:t>
                            </w:r>
                            <w:r w:rsidRPr="00D3053C">
                              <w:t xml:space="preserve"> male and 4 were other.</w:t>
                            </w:r>
                          </w:p>
                          <w:p w14:paraId="6F3CA299" w14:textId="77777777" w:rsidR="00D3053C" w:rsidRPr="00D3053C" w:rsidRDefault="00D3053C" w:rsidP="00D3053C">
                            <w:pPr>
                              <w:pStyle w:val="ListParagraph"/>
                            </w:pPr>
                          </w:p>
                          <w:p w14:paraId="0436BB0D" w14:textId="77777777" w:rsidR="00D3053C" w:rsidRPr="00D3053C" w:rsidRDefault="00D3053C" w:rsidP="00D305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8" w:lineRule="auto"/>
                            </w:pPr>
                            <w:r w:rsidRPr="00D3053C">
                              <w:t>The lowest hourly rate for female staff was £5.28, with a male rate of £6.15 per hour.</w:t>
                            </w:r>
                          </w:p>
                          <w:p w14:paraId="42B291C0" w14:textId="77777777" w:rsidR="00D3053C" w:rsidRPr="00D3053C" w:rsidRDefault="00D3053C" w:rsidP="00D3053C">
                            <w:pPr>
                              <w:pStyle w:val="ListParagraph"/>
                            </w:pPr>
                          </w:p>
                          <w:p w14:paraId="578E5D26" w14:textId="77777777" w:rsidR="00D3053C" w:rsidRPr="00D3053C" w:rsidRDefault="00D3053C" w:rsidP="00D3053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8" w:lineRule="auto"/>
                            </w:pPr>
                            <w:r w:rsidRPr="00D3053C">
                              <w:t>The lowest male rate was a member of student crew in a General Front of House role (16-18 year old).  The lowest female rate was for two 16-18 Apprentices.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8C9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1.25pt;width:271.5pt;height:110.6pt;z-index:25166028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vdDQIAAPc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" stroked="f">
                <v:textbox style="mso-fit-shape-to-text:t">
                  <w:txbxContent>
                    <w:p w14:paraId="6001AA08" w14:textId="0082E063" w:rsidR="00D3053C" w:rsidRPr="00D3053C" w:rsidRDefault="00D3053C" w:rsidP="00D305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8" w:lineRule="auto"/>
                      </w:pPr>
                      <w:r w:rsidRPr="00D3053C">
                        <w:t xml:space="preserve">There were </w:t>
                      </w:r>
                      <w:r w:rsidR="00BE1AFA">
                        <w:t>1,168</w:t>
                      </w:r>
                      <w:r w:rsidRPr="00D3053C">
                        <w:t xml:space="preserve"> paid staff at 31 March 2024.</w:t>
                      </w:r>
                    </w:p>
                    <w:p w14:paraId="3AE4E586" w14:textId="77777777" w:rsidR="00D3053C" w:rsidRPr="00D3053C" w:rsidRDefault="00D3053C" w:rsidP="00D3053C">
                      <w:pPr>
                        <w:pStyle w:val="ListParagraph"/>
                      </w:pPr>
                    </w:p>
                    <w:p w14:paraId="7A461FBE" w14:textId="4E7364AE" w:rsidR="00D3053C" w:rsidRPr="00D3053C" w:rsidRDefault="00D3053C" w:rsidP="00D305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8" w:lineRule="auto"/>
                      </w:pPr>
                      <w:r w:rsidRPr="00D3053C">
                        <w:t>7</w:t>
                      </w:r>
                      <w:r w:rsidR="00BE1AFA">
                        <w:t>31</w:t>
                      </w:r>
                      <w:r w:rsidRPr="00D3053C">
                        <w:t xml:space="preserve"> were female, 4</w:t>
                      </w:r>
                      <w:r w:rsidR="00BE1AFA">
                        <w:t>33</w:t>
                      </w:r>
                      <w:r w:rsidRPr="00D3053C">
                        <w:t xml:space="preserve"> male and 4 were other.</w:t>
                      </w:r>
                    </w:p>
                    <w:p w14:paraId="6F3CA299" w14:textId="77777777" w:rsidR="00D3053C" w:rsidRPr="00D3053C" w:rsidRDefault="00D3053C" w:rsidP="00D3053C">
                      <w:pPr>
                        <w:pStyle w:val="ListParagraph"/>
                      </w:pPr>
                    </w:p>
                    <w:p w14:paraId="0436BB0D" w14:textId="77777777" w:rsidR="00D3053C" w:rsidRPr="00D3053C" w:rsidRDefault="00D3053C" w:rsidP="00D305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8" w:lineRule="auto"/>
                      </w:pPr>
                      <w:r w:rsidRPr="00D3053C">
                        <w:t>The lowest hourly rate for female staff was £5.28, with a male rate of £6.15 per hour.</w:t>
                      </w:r>
                    </w:p>
                    <w:p w14:paraId="42B291C0" w14:textId="77777777" w:rsidR="00D3053C" w:rsidRPr="00D3053C" w:rsidRDefault="00D3053C" w:rsidP="00D3053C">
                      <w:pPr>
                        <w:pStyle w:val="ListParagraph"/>
                      </w:pPr>
                    </w:p>
                    <w:p w14:paraId="578E5D26" w14:textId="77777777" w:rsidR="00D3053C" w:rsidRPr="00D3053C" w:rsidRDefault="00D3053C" w:rsidP="00D3053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8" w:lineRule="auto"/>
                      </w:pPr>
                      <w:r w:rsidRPr="00D3053C">
                        <w:t>The lowest male rate was a member of student crew in a General Front of House role (16-18 year old).  The lowest female rate was for two 16-18 Apprentices.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36B6">
        <w:rPr>
          <w:b/>
          <w:u w:val="single"/>
        </w:rPr>
        <w:t>Gender Split</w:t>
      </w:r>
    </w:p>
    <w:p w14:paraId="46EFCD30" w14:textId="559D1D70" w:rsidR="00F56D64" w:rsidRDefault="00F56D64" w:rsidP="00AA161F">
      <w:pPr>
        <w:pStyle w:val="NoSpacing"/>
        <w:rPr>
          <w:b/>
          <w:u w:val="single"/>
        </w:rPr>
      </w:pPr>
    </w:p>
    <w:p w14:paraId="75510E48" w14:textId="111C1981" w:rsidR="009836B6" w:rsidRDefault="009836B6" w:rsidP="00AA161F">
      <w:pPr>
        <w:pStyle w:val="NoSpacing"/>
        <w:rPr>
          <w:b/>
          <w:u w:val="single"/>
        </w:rPr>
      </w:pPr>
    </w:p>
    <w:p w14:paraId="61A0B090" w14:textId="6DF38F26" w:rsidR="009836B6" w:rsidRDefault="009836B6" w:rsidP="00AA161F">
      <w:pPr>
        <w:pStyle w:val="NoSpacing"/>
        <w:rPr>
          <w:b/>
          <w:u w:val="single"/>
        </w:rPr>
      </w:pPr>
    </w:p>
    <w:p w14:paraId="02C32F2F" w14:textId="7A0D2D60" w:rsidR="00F56D64" w:rsidRDefault="00F56D64" w:rsidP="00AA161F">
      <w:pPr>
        <w:pStyle w:val="NoSpacing"/>
        <w:rPr>
          <w:b/>
          <w:u w:val="single"/>
        </w:rPr>
      </w:pPr>
    </w:p>
    <w:p w14:paraId="355DE0EF" w14:textId="42E4D227" w:rsidR="00F56D64" w:rsidRDefault="00F56D64" w:rsidP="00AA161F">
      <w:pPr>
        <w:pStyle w:val="NoSpacing"/>
        <w:rPr>
          <w:b/>
          <w:u w:val="single"/>
        </w:rPr>
      </w:pPr>
    </w:p>
    <w:p w14:paraId="69DA77EB" w14:textId="01F1A98E" w:rsidR="009A3461" w:rsidRDefault="009A3461" w:rsidP="00B359DC">
      <w:pPr>
        <w:pStyle w:val="NoSpacing"/>
        <w:jc w:val="center"/>
        <w:rPr>
          <w:b/>
          <w:u w:val="single"/>
        </w:rPr>
      </w:pPr>
    </w:p>
    <w:p w14:paraId="517B76DC" w14:textId="546063B7" w:rsidR="009A3461" w:rsidRDefault="009A3461" w:rsidP="00AA161F">
      <w:pPr>
        <w:pStyle w:val="NoSpacing"/>
        <w:rPr>
          <w:b/>
          <w:u w:val="single"/>
        </w:rPr>
      </w:pPr>
    </w:p>
    <w:p w14:paraId="74554151" w14:textId="749681FE" w:rsidR="009A3461" w:rsidRDefault="009A3461" w:rsidP="00AA161F">
      <w:pPr>
        <w:pStyle w:val="NoSpacing"/>
        <w:rPr>
          <w:b/>
          <w:u w:val="single"/>
        </w:rPr>
      </w:pPr>
    </w:p>
    <w:p w14:paraId="72ED4EAF" w14:textId="1EE06AA4" w:rsidR="009A3461" w:rsidRDefault="009A3461" w:rsidP="00AA161F">
      <w:pPr>
        <w:pStyle w:val="NoSpacing"/>
        <w:rPr>
          <w:b/>
          <w:u w:val="single"/>
        </w:rPr>
      </w:pPr>
    </w:p>
    <w:p w14:paraId="6AA6442D" w14:textId="5FAD3E14" w:rsidR="009A3461" w:rsidRDefault="009A3461" w:rsidP="00AA161F">
      <w:pPr>
        <w:pStyle w:val="NoSpacing"/>
        <w:rPr>
          <w:b/>
          <w:u w:val="single"/>
        </w:rPr>
      </w:pPr>
    </w:p>
    <w:p w14:paraId="13A9B1CB" w14:textId="03DBC7C1" w:rsidR="009A3461" w:rsidRDefault="009A3461" w:rsidP="00AA161F">
      <w:pPr>
        <w:pStyle w:val="NoSpacing"/>
        <w:rPr>
          <w:b/>
          <w:u w:val="single"/>
        </w:rPr>
      </w:pPr>
    </w:p>
    <w:p w14:paraId="5DA8D452" w14:textId="0CF85AE0" w:rsidR="00B359DC" w:rsidRDefault="00B359DC" w:rsidP="00AA161F">
      <w:pPr>
        <w:pStyle w:val="NoSpacing"/>
        <w:rPr>
          <w:b/>
          <w:u w:val="single"/>
        </w:rPr>
      </w:pPr>
    </w:p>
    <w:p w14:paraId="17E1DE8D" w14:textId="77777777" w:rsidR="00681537" w:rsidRDefault="00681537" w:rsidP="00AA161F">
      <w:pPr>
        <w:pStyle w:val="NoSpacing"/>
        <w:rPr>
          <w:b/>
          <w:u w:val="single"/>
        </w:rPr>
      </w:pPr>
    </w:p>
    <w:p w14:paraId="22E70B82" w14:textId="77777777" w:rsidR="00681537" w:rsidRDefault="00681537" w:rsidP="00AA161F">
      <w:pPr>
        <w:pStyle w:val="NoSpacing"/>
        <w:rPr>
          <w:b/>
          <w:u w:val="single"/>
        </w:rPr>
      </w:pPr>
    </w:p>
    <w:p w14:paraId="6CD41CD1" w14:textId="77777777" w:rsidR="00681537" w:rsidRDefault="00681537" w:rsidP="00AA161F">
      <w:pPr>
        <w:pStyle w:val="NoSpacing"/>
        <w:rPr>
          <w:b/>
          <w:u w:val="single"/>
        </w:rPr>
      </w:pPr>
    </w:p>
    <w:p w14:paraId="2E1697EA" w14:textId="14B131E7" w:rsidR="009836B6" w:rsidRDefault="009836B6" w:rsidP="00AA161F">
      <w:pPr>
        <w:pStyle w:val="NoSpacing"/>
      </w:pPr>
      <w:r>
        <w:rPr>
          <w:b/>
          <w:u w:val="single"/>
        </w:rPr>
        <w:t>Mean Gender Pay Gap</w:t>
      </w:r>
    </w:p>
    <w:p w14:paraId="11F90C14" w14:textId="06EDE082" w:rsidR="009836B6" w:rsidRDefault="0061726E" w:rsidP="00AA161F">
      <w:pPr>
        <w:pStyle w:val="NoSpacing"/>
      </w:pPr>
      <w:r w:rsidRPr="0066169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F12804" wp14:editId="021A611D">
                <wp:simplePos x="0" y="0"/>
                <wp:positionH relativeFrom="margin">
                  <wp:posOffset>2809875</wp:posOffset>
                </wp:positionH>
                <wp:positionV relativeFrom="paragraph">
                  <wp:posOffset>174624</wp:posOffset>
                </wp:positionV>
                <wp:extent cx="2665704" cy="1362075"/>
                <wp:effectExtent l="0" t="0" r="190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04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B7509" w14:textId="0AF0FBBF" w:rsidR="00D64661" w:rsidRPr="00B47591" w:rsidRDefault="0061726E" w:rsidP="0061726E">
                            <w:pPr>
                              <w:pStyle w:val="ListParagraph1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B47591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D64661" w:rsidRPr="00B47591">
                              <w:rPr>
                                <w:b/>
                                <w:bCs/>
                              </w:rPr>
                              <w:t xml:space="preserve">verage (Mean) hourly rate </w:t>
                            </w:r>
                          </w:p>
                          <w:p w14:paraId="39F5B5AF" w14:textId="2CCFFC98" w:rsidR="00D64661" w:rsidRPr="00DB7DCC" w:rsidRDefault="00D64661" w:rsidP="00F56D64">
                            <w:pPr>
                              <w:pStyle w:val="ListParagraph"/>
                            </w:pPr>
                            <w:r w:rsidRPr="00DB7DCC">
                              <w:t>Female</w:t>
                            </w:r>
                            <w:r w:rsidR="00B47591" w:rsidRPr="00DB7DCC">
                              <w:tab/>
                            </w:r>
                            <w:r w:rsidRPr="00DB7DCC">
                              <w:t>£</w:t>
                            </w:r>
                            <w:r w:rsidR="00410196" w:rsidRPr="00DB7DCC">
                              <w:t>16.15</w:t>
                            </w:r>
                          </w:p>
                          <w:p w14:paraId="2247C521" w14:textId="2907A056" w:rsidR="00D64661" w:rsidRPr="00DB7DCC" w:rsidRDefault="00D64661" w:rsidP="00F56D64">
                            <w:pPr>
                              <w:pStyle w:val="ListParagraph"/>
                            </w:pPr>
                            <w:r w:rsidRPr="00DB7DCC">
                              <w:t xml:space="preserve">Male </w:t>
                            </w:r>
                            <w:r w:rsidRPr="00DB7DCC">
                              <w:tab/>
                              <w:t>£</w:t>
                            </w:r>
                            <w:r w:rsidR="006163B6" w:rsidRPr="00DB7DCC">
                              <w:t>18.33</w:t>
                            </w:r>
                          </w:p>
                          <w:p w14:paraId="503265A8" w14:textId="77777777" w:rsidR="00A50B32" w:rsidRPr="00DB7DCC" w:rsidRDefault="00A50B32" w:rsidP="008A24BA">
                            <w:pPr>
                              <w:pStyle w:val="ListParagraph"/>
                            </w:pPr>
                          </w:p>
                          <w:p w14:paraId="1D98BCA4" w14:textId="2C97A219" w:rsidR="002F7190" w:rsidRPr="00DB7DCC" w:rsidRDefault="00A022AB" w:rsidP="008A24BA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  <w:r w:rsidRPr="00DB7DCC">
                              <w:t>Gap</w:t>
                            </w:r>
                            <w:r w:rsidRPr="00DB7DCC">
                              <w:tab/>
                            </w:r>
                            <w:r w:rsidR="00B14167" w:rsidRPr="00DB7DCC">
                              <w:rPr>
                                <w:color w:val="000000" w:themeColor="text1"/>
                              </w:rPr>
                              <w:t>£</w:t>
                            </w:r>
                            <w:r w:rsidR="00727AEC" w:rsidRPr="00DB7DCC">
                              <w:rPr>
                                <w:color w:val="000000" w:themeColor="text1"/>
                              </w:rPr>
                              <w:t>2.1</w:t>
                            </w:r>
                            <w:r w:rsidR="006163B6" w:rsidRPr="00DB7DCC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  <w:p w14:paraId="1F91AED7" w14:textId="266321C5" w:rsidR="0061726E" w:rsidRPr="00DB7DCC" w:rsidRDefault="0061726E" w:rsidP="008A24BA">
                            <w:pPr>
                              <w:pStyle w:val="ListParagraph"/>
                              <w:rPr>
                                <w:color w:val="000000" w:themeColor="text1"/>
                              </w:rPr>
                            </w:pPr>
                            <w:r w:rsidRPr="00DB7DCC">
                              <w:rPr>
                                <w:color w:val="000000" w:themeColor="text1"/>
                              </w:rPr>
                              <w:t xml:space="preserve">Gap % </w:t>
                            </w:r>
                            <w:r w:rsidR="00C07309" w:rsidRPr="00DB7DCC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DB7DCC">
                              <w:rPr>
                                <w:color w:val="000000" w:themeColor="text1"/>
                              </w:rPr>
                              <w:t>11.</w:t>
                            </w:r>
                            <w:r w:rsidR="00F8087A" w:rsidRPr="00DB7DCC">
                              <w:rPr>
                                <w:color w:val="000000" w:themeColor="text1"/>
                              </w:rPr>
                              <w:t>90</w:t>
                            </w:r>
                            <w:r w:rsidRPr="00DB7DC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0E3D99" w14:textId="74E29E5C" w:rsidR="008A24BA" w:rsidRPr="008A24BA" w:rsidRDefault="008A24BA" w:rsidP="008A24BA">
                            <w:pPr>
                              <w:pStyle w:val="ListParagrap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</w:p>
                          <w:p w14:paraId="5FF642C6" w14:textId="77777777" w:rsidR="007B2424" w:rsidRDefault="007B2424" w:rsidP="00F56D64">
                            <w:pPr>
                              <w:pStyle w:val="ListParagraph"/>
                            </w:pPr>
                          </w:p>
                          <w:p w14:paraId="312BDAAF" w14:textId="77777777" w:rsidR="007B2424" w:rsidRPr="0066169A" w:rsidRDefault="007B2424" w:rsidP="00F56D64">
                            <w:pPr>
                              <w:pStyle w:val="ListParagraph"/>
                            </w:pPr>
                          </w:p>
                          <w:p w14:paraId="36625290" w14:textId="77777777" w:rsidR="00D64661" w:rsidRDefault="00D64661" w:rsidP="00F56D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12804" id="Text Box 1" o:spid="_x0000_s1027" type="#_x0000_t202" style="position:absolute;margin-left:221.25pt;margin-top:13.75pt;width:209.9pt;height:107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" fillcolor="window" stroked="f" strokeweight=".5pt">
                <v:textbox>
                  <w:txbxContent>
                    <w:p w14:paraId="4EEB7509" w14:textId="0AF0FBBF" w:rsidR="00D64661" w:rsidRPr="00B47591" w:rsidRDefault="0061726E" w:rsidP="0061726E">
                      <w:pPr>
                        <w:pStyle w:val="ListParagraph1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</w:rPr>
                      </w:pPr>
                      <w:r w:rsidRPr="00B47591">
                        <w:rPr>
                          <w:b/>
                          <w:bCs/>
                        </w:rPr>
                        <w:t>A</w:t>
                      </w:r>
                      <w:r w:rsidR="00D64661" w:rsidRPr="00B47591">
                        <w:rPr>
                          <w:b/>
                          <w:bCs/>
                        </w:rPr>
                        <w:t xml:space="preserve">verage (Mean) hourly rate </w:t>
                      </w:r>
                    </w:p>
                    <w:p w14:paraId="39F5B5AF" w14:textId="2CCFFC98" w:rsidR="00D64661" w:rsidRPr="00DB7DCC" w:rsidRDefault="00D64661" w:rsidP="00F56D64">
                      <w:pPr>
                        <w:pStyle w:val="ListParagraph"/>
                      </w:pPr>
                      <w:r w:rsidRPr="00DB7DCC">
                        <w:t>Female</w:t>
                      </w:r>
                      <w:r w:rsidR="00B47591" w:rsidRPr="00DB7DCC">
                        <w:tab/>
                      </w:r>
                      <w:r w:rsidRPr="00DB7DCC">
                        <w:t>£</w:t>
                      </w:r>
                      <w:r w:rsidR="00410196" w:rsidRPr="00DB7DCC">
                        <w:t>16.15</w:t>
                      </w:r>
                    </w:p>
                    <w:p w14:paraId="2247C521" w14:textId="2907A056" w:rsidR="00D64661" w:rsidRPr="00DB7DCC" w:rsidRDefault="00D64661" w:rsidP="00F56D64">
                      <w:pPr>
                        <w:pStyle w:val="ListParagraph"/>
                      </w:pPr>
                      <w:r w:rsidRPr="00DB7DCC">
                        <w:t xml:space="preserve">Male </w:t>
                      </w:r>
                      <w:r w:rsidRPr="00DB7DCC">
                        <w:tab/>
                        <w:t>£</w:t>
                      </w:r>
                      <w:r w:rsidR="006163B6" w:rsidRPr="00DB7DCC">
                        <w:t>18.33</w:t>
                      </w:r>
                    </w:p>
                    <w:p w14:paraId="503265A8" w14:textId="77777777" w:rsidR="00A50B32" w:rsidRPr="00DB7DCC" w:rsidRDefault="00A50B32" w:rsidP="008A24BA">
                      <w:pPr>
                        <w:pStyle w:val="ListParagraph"/>
                      </w:pPr>
                    </w:p>
                    <w:p w14:paraId="1D98BCA4" w14:textId="2C97A219" w:rsidR="002F7190" w:rsidRPr="00DB7DCC" w:rsidRDefault="00A022AB" w:rsidP="008A24BA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  <w:r w:rsidRPr="00DB7DCC">
                        <w:t>Gap</w:t>
                      </w:r>
                      <w:r w:rsidRPr="00DB7DCC">
                        <w:tab/>
                      </w:r>
                      <w:r w:rsidR="00B14167" w:rsidRPr="00DB7DCC">
                        <w:rPr>
                          <w:color w:val="000000" w:themeColor="text1"/>
                        </w:rPr>
                        <w:t>£</w:t>
                      </w:r>
                      <w:r w:rsidR="00727AEC" w:rsidRPr="00DB7DCC">
                        <w:rPr>
                          <w:color w:val="000000" w:themeColor="text1"/>
                        </w:rPr>
                        <w:t>2.1</w:t>
                      </w:r>
                      <w:r w:rsidR="006163B6" w:rsidRPr="00DB7DCC">
                        <w:rPr>
                          <w:color w:val="000000" w:themeColor="text1"/>
                        </w:rPr>
                        <w:t>8</w:t>
                      </w:r>
                    </w:p>
                    <w:p w14:paraId="1F91AED7" w14:textId="266321C5" w:rsidR="0061726E" w:rsidRPr="00DB7DCC" w:rsidRDefault="0061726E" w:rsidP="008A24BA">
                      <w:pPr>
                        <w:pStyle w:val="ListParagraph"/>
                        <w:rPr>
                          <w:color w:val="000000" w:themeColor="text1"/>
                        </w:rPr>
                      </w:pPr>
                      <w:r w:rsidRPr="00DB7DCC">
                        <w:rPr>
                          <w:color w:val="000000" w:themeColor="text1"/>
                        </w:rPr>
                        <w:t xml:space="preserve">Gap % </w:t>
                      </w:r>
                      <w:r w:rsidR="00C07309" w:rsidRPr="00DB7DCC">
                        <w:rPr>
                          <w:color w:val="000000" w:themeColor="text1"/>
                        </w:rPr>
                        <w:t xml:space="preserve">  </w:t>
                      </w:r>
                      <w:r w:rsidRPr="00DB7DCC">
                        <w:rPr>
                          <w:color w:val="000000" w:themeColor="text1"/>
                        </w:rPr>
                        <w:t>11.</w:t>
                      </w:r>
                      <w:r w:rsidR="00F8087A" w:rsidRPr="00DB7DCC">
                        <w:rPr>
                          <w:color w:val="000000" w:themeColor="text1"/>
                        </w:rPr>
                        <w:t>90</w:t>
                      </w:r>
                      <w:r w:rsidRPr="00DB7DC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2C0E3D99" w14:textId="74E29E5C" w:rsidR="008A24BA" w:rsidRPr="008A24BA" w:rsidRDefault="008A24BA" w:rsidP="008A24BA">
                      <w:pPr>
                        <w:pStyle w:val="ListParagrap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</w:p>
                    <w:p w14:paraId="5FF642C6" w14:textId="77777777" w:rsidR="007B2424" w:rsidRDefault="007B2424" w:rsidP="00F56D64">
                      <w:pPr>
                        <w:pStyle w:val="ListParagraph"/>
                      </w:pPr>
                    </w:p>
                    <w:p w14:paraId="312BDAAF" w14:textId="77777777" w:rsidR="007B2424" w:rsidRPr="0066169A" w:rsidRDefault="007B2424" w:rsidP="00F56D64">
                      <w:pPr>
                        <w:pStyle w:val="ListParagraph"/>
                      </w:pPr>
                    </w:p>
                    <w:p w14:paraId="36625290" w14:textId="77777777" w:rsidR="00D64661" w:rsidRDefault="00D64661" w:rsidP="00F56D64"/>
                  </w:txbxContent>
                </v:textbox>
                <w10:wrap anchorx="margin"/>
              </v:shape>
            </w:pict>
          </mc:Fallback>
        </mc:AlternateContent>
      </w:r>
    </w:p>
    <w:p w14:paraId="7D0264E0" w14:textId="5983362B" w:rsidR="009836B6" w:rsidRDefault="00804E41" w:rsidP="00AA161F">
      <w:pPr>
        <w:pStyle w:val="NoSpacing"/>
      </w:pPr>
      <w:r>
        <w:rPr>
          <w:noProof/>
        </w:rPr>
        <w:drawing>
          <wp:inline distT="0" distB="0" distL="0" distR="0" wp14:anchorId="63E22A63" wp14:editId="79902262">
            <wp:extent cx="2352675" cy="2019300"/>
            <wp:effectExtent l="0" t="0" r="9525" b="0"/>
            <wp:docPr id="99295475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2068E4" w14:textId="1704BD7A" w:rsidR="00F56D64" w:rsidRDefault="00F56D64" w:rsidP="00AA161F">
      <w:pPr>
        <w:pStyle w:val="NoSpacing"/>
        <w:rPr>
          <w:b/>
          <w:u w:val="single"/>
        </w:rPr>
      </w:pPr>
    </w:p>
    <w:p w14:paraId="56B16F98" w14:textId="77777777" w:rsidR="00F56D64" w:rsidRDefault="00F56D64" w:rsidP="00AA161F">
      <w:pPr>
        <w:pStyle w:val="NoSpacing"/>
        <w:rPr>
          <w:b/>
          <w:u w:val="single"/>
        </w:rPr>
      </w:pPr>
    </w:p>
    <w:p w14:paraId="455B0EE7" w14:textId="21CF2279" w:rsidR="009836B6" w:rsidRPr="001D0E7D" w:rsidRDefault="009836B6" w:rsidP="2AD04180">
      <w:pPr>
        <w:pStyle w:val="NoSpacing"/>
        <w:rPr>
          <w:b/>
          <w:u w:val="single"/>
        </w:rPr>
      </w:pPr>
      <w:r>
        <w:rPr>
          <w:b/>
          <w:u w:val="single"/>
        </w:rPr>
        <w:t>Median Gender Pay Gap</w:t>
      </w:r>
    </w:p>
    <w:p w14:paraId="2858EC78" w14:textId="6CFFCE55" w:rsidR="009836B6" w:rsidRDefault="009836B6" w:rsidP="202FF8A6">
      <w:pPr>
        <w:pStyle w:val="NoSpacing"/>
        <w:rPr>
          <w:b/>
          <w:bCs/>
          <w:u w:val="single"/>
        </w:rPr>
      </w:pPr>
    </w:p>
    <w:p w14:paraId="6BFCFA8B" w14:textId="5D7F2ACE" w:rsidR="009836B6" w:rsidRDefault="009836B6" w:rsidP="49561C1B">
      <w:pPr>
        <w:pStyle w:val="NoSpacing"/>
        <w:shd w:val="clear" w:color="auto" w:fill="FFFFFF" w:themeFill="background1"/>
      </w:pPr>
      <w:r>
        <w:rPr>
          <w:noProof/>
        </w:rPr>
        <mc:AlternateContent>
          <mc:Choice Requires="wpg">
            <w:drawing>
              <wp:inline distT="0" distB="0" distL="0" distR="0" wp14:anchorId="07B41A35" wp14:editId="3DB6D701">
                <wp:extent cx="843915" cy="1748790"/>
                <wp:effectExtent l="19050" t="19050" r="13335" b="41910"/>
                <wp:docPr id="123627389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915" cy="1748790"/>
                          <a:chOff x="0" y="0"/>
                          <a:chExt cx="974090" cy="2130010"/>
                        </a:xfrm>
                      </wpg:grpSpPr>
                      <wps:wsp>
                        <wps:cNvPr id="41434685" name="Arrow: Up 41434685"/>
                        <wps:cNvSpPr/>
                        <wps:spPr>
                          <a:xfrm>
                            <a:off x="0" y="0"/>
                            <a:ext cx="974090" cy="1015903"/>
                          </a:xfrm>
                          <a:prstGeom prst="upArrow">
                            <a:avLst/>
                          </a:prstGeom>
                          <a:solidFill>
                            <a:srgbClr val="FFC000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065871192" name="Arrow: Up 2065871192"/>
                        <wps:cNvSpPr/>
                        <wps:spPr>
                          <a:xfrm rot="10800000">
                            <a:off x="0" y="1114107"/>
                            <a:ext cx="974090" cy="1015903"/>
                          </a:xfrm>
                          <a:prstGeom prst="upArrow">
                            <a:avLst/>
                          </a:prstGeom>
                          <a:solidFill>
                            <a:srgbClr val="9933FF"/>
                          </a:solidFill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A2624" id="Group 1" o:spid="_x0000_s1026" style="width:66.45pt;height:137.7pt;mso-position-horizontal-relative:char;mso-position-vertical-relative:line" coordsize="9740,2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41434685" o:spid="_x0000_s1027" type="#_x0000_t68" style="position:absolute;width:9740;height:10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" adj="10355" fillcolor="#ffc000" strokecolor="#1f3763 [1604]" strokeweight="1pt"/>
                <v:shape id="Arrow: Up 2065871192" o:spid="_x0000_s1028" type="#_x0000_t68" style="position:absolute;top:11141;width:9740;height:1015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" adj="10355" fillcolor="#93f" strokecolor="#1f3763 [1604]" strokeweight="1pt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114300" distR="114300" wp14:anchorId="574FF1C4" wp14:editId="2D69DF4E">
                <wp:extent cx="2149475" cy="987425"/>
                <wp:effectExtent l="0" t="0" r="3175" b="3175"/>
                <wp:docPr id="810436318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98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CCD3A" w14:textId="77777777" w:rsidR="00C61719" w:rsidRDefault="00C61719" w:rsidP="00CD355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54149">
                              <w:rPr>
                                <w:b/>
                                <w:sz w:val="36"/>
                                <w:szCs w:val="36"/>
                              </w:rPr>
                              <w:t>Median Gap</w:t>
                            </w:r>
                          </w:p>
                          <w:p w14:paraId="559A0A6D" w14:textId="77777777" w:rsidR="00C61719" w:rsidRPr="00254149" w:rsidRDefault="00C61719" w:rsidP="00CD355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17.76%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FF1C4" id="Text Box 15" o:spid="_x0000_s1028" type="#_x0000_t202" style="width:169.25pt;height:7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" fillcolor="window" stroked="f" strokeweight=".5pt">
                <v:textbox>
                  <w:txbxContent>
                    <w:p w14:paraId="363CCD3A" w14:textId="77777777" w:rsidR="00C61719" w:rsidRDefault="00C61719" w:rsidP="00CD355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54149">
                        <w:rPr>
                          <w:b/>
                          <w:sz w:val="36"/>
                          <w:szCs w:val="36"/>
                        </w:rPr>
                        <w:t>Median Gap</w:t>
                      </w:r>
                    </w:p>
                    <w:p w14:paraId="559A0A6D" w14:textId="77777777" w:rsidR="00C61719" w:rsidRPr="00254149" w:rsidRDefault="00C61719" w:rsidP="00CD355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17.76%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44A52E4" wp14:editId="621FE0FC">
                <wp:extent cx="2446020" cy="1272540"/>
                <wp:effectExtent l="0" t="0" r="0" b="3810"/>
                <wp:docPr id="8634133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1B22FF" w14:textId="77777777" w:rsidR="000026BA" w:rsidRDefault="00C61719" w:rsidP="000026BA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•      Median hourly rate</w:t>
                            </w:r>
                          </w:p>
                          <w:p w14:paraId="04ED7007" w14:textId="20FE4EA0" w:rsidR="00C61719" w:rsidRPr="00DB7DCC" w:rsidRDefault="00C61719" w:rsidP="00DB7DCC">
                            <w:pPr>
                              <w:pStyle w:val="NoSpacing"/>
                              <w:ind w:firstLine="426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 w:rsidRPr="00DB7DCC">
                              <w:t>Female   £15.15</w:t>
                            </w:r>
                          </w:p>
                          <w:p w14:paraId="23EF6C93" w14:textId="77777777" w:rsidR="00C61719" w:rsidRPr="00DB7DCC" w:rsidRDefault="00C61719" w:rsidP="00DB7DCC">
                            <w:pPr>
                              <w:pStyle w:val="NoSpacing"/>
                              <w:ind w:firstLine="426"/>
                            </w:pPr>
                            <w:r w:rsidRPr="00DB7DCC">
                              <w:t>Male       £18.42</w:t>
                            </w:r>
                          </w:p>
                          <w:p w14:paraId="366C8B85" w14:textId="77777777" w:rsidR="000026BA" w:rsidRPr="00DB7DCC" w:rsidRDefault="000026BA" w:rsidP="00DB7DCC">
                            <w:pPr>
                              <w:pStyle w:val="NoSpacing"/>
                              <w:ind w:firstLine="426"/>
                            </w:pPr>
                          </w:p>
                          <w:p w14:paraId="33250770" w14:textId="7C0712E3" w:rsidR="00C61719" w:rsidRPr="0014459D" w:rsidRDefault="00C61719" w:rsidP="00DB7DCC">
                            <w:pPr>
                              <w:pStyle w:val="NoSpacing"/>
                              <w:ind w:firstLine="426"/>
                            </w:pPr>
                            <w:r w:rsidRPr="0014459D">
                              <w:t>Gap         £3.27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544A52E4" id="Rectangle 1" o:spid="_x0000_s1029" style="width:192.6pt;height:10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" fillcolor="white [3201]" stroked="f">
                <v:textbox>
                  <w:txbxContent>
                    <w:p w14:paraId="571B22FF" w14:textId="77777777" w:rsidR="000026BA" w:rsidRDefault="00C61719" w:rsidP="000026BA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•      Median hourly rate</w:t>
                      </w:r>
                    </w:p>
                    <w:p w14:paraId="04ED7007" w14:textId="20FE4EA0" w:rsidR="00C61719" w:rsidRPr="00DB7DCC" w:rsidRDefault="00C61719" w:rsidP="00DB7DCC">
                      <w:pPr>
                        <w:pStyle w:val="NoSpacing"/>
                        <w:ind w:firstLine="426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 w:rsidRPr="00DB7DCC">
                        <w:t>Female   £15.15</w:t>
                      </w:r>
                    </w:p>
                    <w:p w14:paraId="23EF6C93" w14:textId="77777777" w:rsidR="00C61719" w:rsidRPr="00DB7DCC" w:rsidRDefault="00C61719" w:rsidP="00DB7DCC">
                      <w:pPr>
                        <w:pStyle w:val="NoSpacing"/>
                        <w:ind w:firstLine="426"/>
                      </w:pPr>
                      <w:r w:rsidRPr="00DB7DCC">
                        <w:t>Male       £18.42</w:t>
                      </w:r>
                    </w:p>
                    <w:p w14:paraId="366C8B85" w14:textId="77777777" w:rsidR="000026BA" w:rsidRPr="00DB7DCC" w:rsidRDefault="000026BA" w:rsidP="00DB7DCC">
                      <w:pPr>
                        <w:pStyle w:val="NoSpacing"/>
                        <w:ind w:firstLine="426"/>
                      </w:pPr>
                    </w:p>
                    <w:p w14:paraId="33250770" w14:textId="7C0712E3" w:rsidR="00C61719" w:rsidRPr="0014459D" w:rsidRDefault="00C61719" w:rsidP="00DB7DCC">
                      <w:pPr>
                        <w:pStyle w:val="NoSpacing"/>
                        <w:ind w:firstLine="426"/>
                      </w:pPr>
                      <w:r w:rsidRPr="0014459D">
                        <w:t>Gap         £3.27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DFD0E22" w14:textId="53715FFF" w:rsidR="00CD44B1" w:rsidRDefault="00CD44B1" w:rsidP="00AA161F">
      <w:pPr>
        <w:pStyle w:val="NoSpacing"/>
      </w:pPr>
    </w:p>
    <w:p w14:paraId="0EEB407C" w14:textId="33C314AD" w:rsidR="009836B6" w:rsidRDefault="009836B6" w:rsidP="00AA161F">
      <w:pPr>
        <w:pStyle w:val="NoSpacing"/>
      </w:pPr>
      <w:r>
        <w:rPr>
          <w:b/>
          <w:u w:val="single"/>
        </w:rPr>
        <w:t>Bonus Gender Pay Gap</w:t>
      </w:r>
    </w:p>
    <w:p w14:paraId="18CCC825" w14:textId="068AC459" w:rsidR="009836B6" w:rsidRDefault="009836B6" w:rsidP="00AA161F">
      <w:pPr>
        <w:pStyle w:val="NoSpacing"/>
      </w:pPr>
    </w:p>
    <w:p w14:paraId="25541C99" w14:textId="3C556560" w:rsidR="00CD3551" w:rsidRDefault="002E5ADB" w:rsidP="00AA161F">
      <w:pPr>
        <w:pStyle w:val="NoSpacing"/>
      </w:pPr>
      <w:r>
        <w:t xml:space="preserve">City College Norwich </w:t>
      </w:r>
      <w:r w:rsidR="00CD44B1">
        <w:t>does not pay</w:t>
      </w:r>
      <w:r>
        <w:t xml:space="preserve"> bonuses to staff.</w:t>
      </w:r>
    </w:p>
    <w:p w14:paraId="44681C66" w14:textId="77777777" w:rsidR="002239D1" w:rsidRDefault="002239D1" w:rsidP="00AA161F">
      <w:pPr>
        <w:pStyle w:val="NoSpacing"/>
      </w:pPr>
    </w:p>
    <w:p w14:paraId="7EB07828" w14:textId="087B8787" w:rsidR="002E5ADB" w:rsidRDefault="009836B6" w:rsidP="00AA161F">
      <w:pPr>
        <w:pStyle w:val="NoSpacing"/>
        <w:rPr>
          <w:b/>
          <w:u w:val="single"/>
        </w:rPr>
      </w:pPr>
      <w:r>
        <w:rPr>
          <w:b/>
          <w:u w:val="single"/>
        </w:rPr>
        <w:t>Gender Pay Gap Quartiles</w:t>
      </w:r>
    </w:p>
    <w:p w14:paraId="2F658D93" w14:textId="77777777" w:rsidR="00CB1FBE" w:rsidRDefault="00CB1FBE" w:rsidP="00AA161F">
      <w:pPr>
        <w:pStyle w:val="NoSpacing"/>
        <w:rPr>
          <w:b/>
          <w:u w:val="single"/>
        </w:rPr>
      </w:pPr>
    </w:p>
    <w:p w14:paraId="4FF0475E" w14:textId="77777777" w:rsidR="00CB1FBE" w:rsidRDefault="00CB1FBE" w:rsidP="00AA161F">
      <w:pPr>
        <w:pStyle w:val="NoSpacing"/>
        <w:rPr>
          <w:b/>
          <w:u w:val="single"/>
        </w:rPr>
      </w:pPr>
    </w:p>
    <w:p w14:paraId="0C7C1587" w14:textId="2D6BD395" w:rsidR="002E5ADB" w:rsidRDefault="00CB1FBE" w:rsidP="00AA161F">
      <w:pPr>
        <w:pStyle w:val="NoSpacing"/>
        <w:rPr>
          <w:b/>
          <w:u w:val="single"/>
        </w:rPr>
      </w:pPr>
      <w:r>
        <w:rPr>
          <w:noProof/>
        </w:rPr>
        <w:drawing>
          <wp:inline distT="0" distB="0" distL="0" distR="0" wp14:anchorId="1CA0BC65" wp14:editId="145F31C9">
            <wp:extent cx="5429250" cy="1924050"/>
            <wp:effectExtent l="0" t="0" r="0" b="0"/>
            <wp:docPr id="9595874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5F801FC-59EF-4038-B16E-58C66DB5A6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A6EC48" w14:textId="111E9681" w:rsidR="00943836" w:rsidRDefault="00943836" w:rsidP="0FF8309C">
      <w:pPr>
        <w:spacing w:after="0"/>
      </w:pPr>
    </w:p>
    <w:p w14:paraId="726C1522" w14:textId="77777777" w:rsidR="00943836" w:rsidRDefault="00943836" w:rsidP="00AA161F">
      <w:pPr>
        <w:pStyle w:val="NoSpacing"/>
        <w:rPr>
          <w:b/>
        </w:rPr>
      </w:pPr>
    </w:p>
    <w:tbl>
      <w:tblPr>
        <w:tblStyle w:val="TableGrid"/>
        <w:tblW w:w="8700" w:type="dxa"/>
        <w:tblLook w:val="04A0" w:firstRow="1" w:lastRow="0" w:firstColumn="1" w:lastColumn="0" w:noHBand="0" w:noVBand="1"/>
      </w:tblPr>
      <w:tblGrid>
        <w:gridCol w:w="1005"/>
        <w:gridCol w:w="990"/>
        <w:gridCol w:w="870"/>
        <w:gridCol w:w="1830"/>
        <w:gridCol w:w="2040"/>
        <w:gridCol w:w="1965"/>
      </w:tblGrid>
      <w:tr w:rsidR="00D26C63" w14:paraId="67BBFCB2" w14:textId="77777777" w:rsidTr="3D74530A">
        <w:trPr>
          <w:trHeight w:val="690"/>
        </w:trPr>
        <w:tc>
          <w:tcPr>
            <w:tcW w:w="1005" w:type="dxa"/>
            <w:tcBorders>
              <w:right w:val="single" w:sz="12" w:space="0" w:color="000000" w:themeColor="text1"/>
            </w:tcBorders>
          </w:tcPr>
          <w:p w14:paraId="74625610" w14:textId="5C445B5C" w:rsidR="0061726E" w:rsidRDefault="0061726E" w:rsidP="004B5C3A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D26827" w14:textId="0F8BEDCB" w:rsidR="0061726E" w:rsidRDefault="656CD099" w:rsidP="004B5C3A">
            <w:pPr>
              <w:pStyle w:val="NoSpacing"/>
              <w:rPr>
                <w:b/>
              </w:rPr>
            </w:pPr>
            <w:r w:rsidRPr="579F216C">
              <w:rPr>
                <w:b/>
                <w:bCs/>
              </w:rPr>
              <w:t>CCN</w:t>
            </w:r>
            <w:r w:rsidRPr="6D7A4375">
              <w:rPr>
                <w:b/>
                <w:bCs/>
              </w:rPr>
              <w:t xml:space="preserve"> 2024</w:t>
            </w:r>
          </w:p>
        </w:tc>
        <w:tc>
          <w:tcPr>
            <w:tcW w:w="870" w:type="dxa"/>
            <w:tcBorders>
              <w:left w:val="single" w:sz="12" w:space="0" w:color="000000" w:themeColor="text1"/>
            </w:tcBorders>
          </w:tcPr>
          <w:p w14:paraId="7B8CA835" w14:textId="69202FA0" w:rsidR="0061726E" w:rsidRDefault="0061726E" w:rsidP="004B5C3A">
            <w:pPr>
              <w:pStyle w:val="NoSpacing"/>
              <w:rPr>
                <w:b/>
              </w:rPr>
            </w:pPr>
            <w:r>
              <w:rPr>
                <w:b/>
              </w:rPr>
              <w:t>CCN 2023</w:t>
            </w:r>
          </w:p>
        </w:tc>
        <w:tc>
          <w:tcPr>
            <w:tcW w:w="1830" w:type="dxa"/>
          </w:tcPr>
          <w:p w14:paraId="3EBE51D6" w14:textId="047330B2" w:rsidR="0061726E" w:rsidRPr="008935AC" w:rsidRDefault="0061726E" w:rsidP="004B5C3A">
            <w:pPr>
              <w:pStyle w:val="NoSpacing"/>
              <w:rPr>
                <w:b/>
              </w:rPr>
            </w:pPr>
            <w:r>
              <w:rPr>
                <w:b/>
              </w:rPr>
              <w:t>Difference in Gap from previous year</w:t>
            </w:r>
          </w:p>
        </w:tc>
        <w:tc>
          <w:tcPr>
            <w:tcW w:w="2040" w:type="dxa"/>
          </w:tcPr>
          <w:p w14:paraId="265664CC" w14:textId="5FFADF54" w:rsidR="0061726E" w:rsidRDefault="0061726E" w:rsidP="004B5C3A">
            <w:pPr>
              <w:pStyle w:val="NoSpacing"/>
              <w:rPr>
                <w:b/>
              </w:rPr>
            </w:pPr>
            <w:r>
              <w:rPr>
                <w:b/>
              </w:rPr>
              <w:t>ONS Average Gap (All employers) 2024</w:t>
            </w:r>
          </w:p>
        </w:tc>
        <w:tc>
          <w:tcPr>
            <w:tcW w:w="1965" w:type="dxa"/>
          </w:tcPr>
          <w:p w14:paraId="6606870A" w14:textId="1EDA7D66" w:rsidR="0061726E" w:rsidRDefault="0061726E" w:rsidP="004B5C3A">
            <w:pPr>
              <w:pStyle w:val="NoSpacing"/>
              <w:rPr>
                <w:b/>
              </w:rPr>
            </w:pPr>
            <w:r>
              <w:rPr>
                <w:b/>
              </w:rPr>
              <w:t>ONS Average Gap Education 2024</w:t>
            </w:r>
          </w:p>
        </w:tc>
      </w:tr>
      <w:tr w:rsidR="00D26C63" w14:paraId="4823C6CB" w14:textId="77777777" w:rsidTr="3D74530A">
        <w:trPr>
          <w:trHeight w:val="300"/>
        </w:trPr>
        <w:tc>
          <w:tcPr>
            <w:tcW w:w="1005" w:type="dxa"/>
            <w:tcBorders>
              <w:right w:val="single" w:sz="12" w:space="0" w:color="000000" w:themeColor="text1"/>
            </w:tcBorders>
          </w:tcPr>
          <w:p w14:paraId="31DA17F9" w14:textId="77777777" w:rsidR="0061726E" w:rsidRDefault="0061726E" w:rsidP="004B5C3A">
            <w:pPr>
              <w:pStyle w:val="NoSpacing"/>
              <w:rPr>
                <w:b/>
              </w:rPr>
            </w:pPr>
            <w:r>
              <w:rPr>
                <w:b/>
              </w:rPr>
              <w:t>Mean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8FEE81" w14:textId="2E4231AB" w:rsidR="0061726E" w:rsidRDefault="0061726E" w:rsidP="004B5C3A">
            <w:pPr>
              <w:pStyle w:val="NoSpacing"/>
              <w:rPr>
                <w:bCs/>
              </w:rPr>
            </w:pPr>
            <w:r>
              <w:rPr>
                <w:bCs/>
              </w:rPr>
              <w:t>11.</w:t>
            </w:r>
            <w:r w:rsidR="438486ED">
              <w:t>90</w:t>
            </w:r>
            <w:r w:rsidR="3722CAEA">
              <w:t>%</w:t>
            </w:r>
          </w:p>
        </w:tc>
        <w:tc>
          <w:tcPr>
            <w:tcW w:w="870" w:type="dxa"/>
            <w:tcBorders>
              <w:left w:val="single" w:sz="12" w:space="0" w:color="000000" w:themeColor="text1"/>
            </w:tcBorders>
          </w:tcPr>
          <w:p w14:paraId="16D68719" w14:textId="7AB347A3" w:rsidR="0061726E" w:rsidRPr="002E6B95" w:rsidRDefault="0061726E" w:rsidP="004B5C3A">
            <w:pPr>
              <w:pStyle w:val="NoSpacing"/>
              <w:rPr>
                <w:bCs/>
              </w:rPr>
            </w:pPr>
            <w:r>
              <w:rPr>
                <w:bCs/>
              </w:rPr>
              <w:t>7.7%</w:t>
            </w:r>
          </w:p>
        </w:tc>
        <w:tc>
          <w:tcPr>
            <w:tcW w:w="1830" w:type="dxa"/>
          </w:tcPr>
          <w:p w14:paraId="6AFA3EEB" w14:textId="6EA03A6D" w:rsidR="0061726E" w:rsidRPr="006778AC" w:rsidRDefault="0061726E" w:rsidP="004B5C3A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  +4.</w:t>
            </w:r>
            <w:r w:rsidR="0FE56B15">
              <w:t>20</w:t>
            </w:r>
          </w:p>
        </w:tc>
        <w:tc>
          <w:tcPr>
            <w:tcW w:w="2040" w:type="dxa"/>
          </w:tcPr>
          <w:p w14:paraId="1D4CBAF4" w14:textId="310071F7" w:rsidR="0061726E" w:rsidRPr="00137BD7" w:rsidRDefault="0061726E" w:rsidP="004B5C3A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13.8% </w:t>
            </w:r>
          </w:p>
        </w:tc>
        <w:tc>
          <w:tcPr>
            <w:tcW w:w="1965" w:type="dxa"/>
          </w:tcPr>
          <w:p w14:paraId="3B17721F" w14:textId="4F08E5CF" w:rsidR="0061726E" w:rsidRPr="00DE3B95" w:rsidRDefault="0061726E" w:rsidP="004B5C3A">
            <w:pPr>
              <w:pStyle w:val="NoSpacing"/>
              <w:rPr>
                <w:bCs/>
              </w:rPr>
            </w:pPr>
            <w:r>
              <w:rPr>
                <w:bCs/>
              </w:rPr>
              <w:t>12.5%</w:t>
            </w:r>
          </w:p>
        </w:tc>
      </w:tr>
      <w:tr w:rsidR="00D26C63" w14:paraId="2BA3735E" w14:textId="77777777" w:rsidTr="3D74530A">
        <w:trPr>
          <w:trHeight w:val="300"/>
        </w:trPr>
        <w:tc>
          <w:tcPr>
            <w:tcW w:w="1005" w:type="dxa"/>
            <w:tcBorders>
              <w:right w:val="single" w:sz="12" w:space="0" w:color="000000" w:themeColor="text1"/>
            </w:tcBorders>
          </w:tcPr>
          <w:p w14:paraId="1F8E445F" w14:textId="77777777" w:rsidR="0061726E" w:rsidRDefault="0061726E" w:rsidP="004B5C3A">
            <w:pPr>
              <w:pStyle w:val="NoSpacing"/>
              <w:rPr>
                <w:b/>
              </w:rPr>
            </w:pPr>
            <w:r>
              <w:rPr>
                <w:b/>
              </w:rPr>
              <w:t>Median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D4989F" w14:textId="4454AE82" w:rsidR="0061726E" w:rsidRDefault="0061726E" w:rsidP="004B5C3A">
            <w:pPr>
              <w:pStyle w:val="NoSpacing"/>
              <w:rPr>
                <w:bCs/>
              </w:rPr>
            </w:pPr>
            <w:r>
              <w:rPr>
                <w:bCs/>
              </w:rPr>
              <w:t>17.</w:t>
            </w:r>
            <w:r w:rsidR="120E5BCD">
              <w:t>76</w:t>
            </w:r>
            <w:r>
              <w:rPr>
                <w:bCs/>
              </w:rPr>
              <w:t>%</w:t>
            </w:r>
          </w:p>
        </w:tc>
        <w:tc>
          <w:tcPr>
            <w:tcW w:w="870" w:type="dxa"/>
            <w:tcBorders>
              <w:left w:val="single" w:sz="12" w:space="0" w:color="000000" w:themeColor="text1"/>
            </w:tcBorders>
          </w:tcPr>
          <w:p w14:paraId="2FE1B632" w14:textId="184BDBF5" w:rsidR="0061726E" w:rsidRPr="000C54AA" w:rsidRDefault="0061726E" w:rsidP="004B5C3A">
            <w:pPr>
              <w:pStyle w:val="NoSpacing"/>
              <w:rPr>
                <w:bCs/>
              </w:rPr>
            </w:pPr>
            <w:r>
              <w:rPr>
                <w:bCs/>
              </w:rPr>
              <w:t>21.5%</w:t>
            </w:r>
          </w:p>
        </w:tc>
        <w:tc>
          <w:tcPr>
            <w:tcW w:w="1830" w:type="dxa"/>
          </w:tcPr>
          <w:p w14:paraId="7BA99AF2" w14:textId="13EE49D5" w:rsidR="0061726E" w:rsidRDefault="0061726E" w:rsidP="004B5C3A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    -</w:t>
            </w:r>
            <w:r w:rsidR="0C695CBE">
              <w:t>3.74</w:t>
            </w:r>
          </w:p>
        </w:tc>
        <w:tc>
          <w:tcPr>
            <w:tcW w:w="2040" w:type="dxa"/>
          </w:tcPr>
          <w:p w14:paraId="34AA38D1" w14:textId="5E62AE34" w:rsidR="0061726E" w:rsidRPr="00B25EE4" w:rsidRDefault="0061726E" w:rsidP="004B5C3A">
            <w:pPr>
              <w:pStyle w:val="NoSpacing"/>
              <w:rPr>
                <w:bCs/>
              </w:rPr>
            </w:pPr>
            <w:r>
              <w:rPr>
                <w:bCs/>
              </w:rPr>
              <w:t>13.1%</w:t>
            </w:r>
          </w:p>
        </w:tc>
        <w:tc>
          <w:tcPr>
            <w:tcW w:w="1965" w:type="dxa"/>
          </w:tcPr>
          <w:p w14:paraId="5373A072" w14:textId="639F3B2C" w:rsidR="0061726E" w:rsidRPr="00B25EE4" w:rsidRDefault="0061726E" w:rsidP="004B5C3A">
            <w:pPr>
              <w:pStyle w:val="NoSpacing"/>
              <w:rPr>
                <w:bCs/>
              </w:rPr>
            </w:pPr>
            <w:r>
              <w:rPr>
                <w:bCs/>
              </w:rPr>
              <w:t>17.2%</w:t>
            </w:r>
          </w:p>
        </w:tc>
      </w:tr>
    </w:tbl>
    <w:p w14:paraId="72103F89" w14:textId="14467D04" w:rsidR="00943836" w:rsidRDefault="00943836" w:rsidP="00AA161F">
      <w:pPr>
        <w:pStyle w:val="NoSpacing"/>
        <w:rPr>
          <w:b/>
        </w:rPr>
      </w:pPr>
    </w:p>
    <w:p w14:paraId="573689A8" w14:textId="4684DC9D" w:rsidR="00AA161F" w:rsidRDefault="009836B6" w:rsidP="00AA161F">
      <w:pPr>
        <w:pStyle w:val="NoSpacing"/>
        <w:rPr>
          <w:b/>
        </w:rPr>
      </w:pPr>
      <w:r>
        <w:rPr>
          <w:b/>
        </w:rPr>
        <w:t>Underlying reasons for City College Norwich’s Gender Pay Gap</w:t>
      </w:r>
    </w:p>
    <w:p w14:paraId="1C20EE8E" w14:textId="366C7555" w:rsidR="00C03D28" w:rsidRDefault="00C03D28" w:rsidP="00AA161F">
      <w:pPr>
        <w:pStyle w:val="NoSpacing"/>
      </w:pPr>
    </w:p>
    <w:p w14:paraId="5B63C6C4" w14:textId="3FB3DA13" w:rsidR="009836B6" w:rsidRDefault="002F46F9" w:rsidP="00AA161F">
      <w:pPr>
        <w:pStyle w:val="NoSpacing"/>
      </w:pPr>
      <w:r>
        <w:t>City College Norwich is committed to the principle of equal opportunities and equal treatment for all employees, regardless of sex, race, religion or belief, age</w:t>
      </w:r>
      <w:r w:rsidR="00652FD8">
        <w:t>,</w:t>
      </w:r>
      <w:r>
        <w:t xml:space="preserve"> marriage or civil partnership, pregnancy/maternity, sexual orientation, gender reassignment or disability.  City College Norwich pays employees equally for the same or equivalent work, regardless of their sex (or any other characteristic set out above).  </w:t>
      </w:r>
    </w:p>
    <w:p w14:paraId="765AB9A3" w14:textId="77777777" w:rsidR="00327FC6" w:rsidRDefault="00327FC6" w:rsidP="00AA161F">
      <w:pPr>
        <w:pStyle w:val="NoSpacing"/>
      </w:pPr>
    </w:p>
    <w:p w14:paraId="0FE973BD" w14:textId="716C64E5" w:rsidR="00943836" w:rsidRDefault="00A35902" w:rsidP="00943836">
      <w:pPr>
        <w:pStyle w:val="NoSpacing"/>
      </w:pPr>
      <w:r>
        <w:t>T</w:t>
      </w:r>
      <w:r w:rsidR="00943836" w:rsidRPr="000F5993">
        <w:t xml:space="preserve">he median </w:t>
      </w:r>
      <w:r w:rsidR="00D817BA">
        <w:t xml:space="preserve">gap </w:t>
      </w:r>
      <w:r>
        <w:t xml:space="preserve">has </w:t>
      </w:r>
      <w:r w:rsidR="00185D63">
        <w:t xml:space="preserve">decreased </w:t>
      </w:r>
      <w:r w:rsidR="00B45400">
        <w:t xml:space="preserve">again </w:t>
      </w:r>
      <w:r w:rsidR="00185D63">
        <w:t xml:space="preserve">by </w:t>
      </w:r>
      <w:r w:rsidR="321EEFD9">
        <w:t>3.74</w:t>
      </w:r>
      <w:r w:rsidR="00943836" w:rsidRPr="000F5993">
        <w:t xml:space="preserve"> from</w:t>
      </w:r>
      <w:r w:rsidR="00943836">
        <w:t xml:space="preserve"> the previous year</w:t>
      </w:r>
      <w:r w:rsidR="00B45400">
        <w:t xml:space="preserve"> with the mean </w:t>
      </w:r>
      <w:r w:rsidR="00B45400" w:rsidRPr="000F5993">
        <w:t xml:space="preserve">gap </w:t>
      </w:r>
      <w:r w:rsidR="00B45400">
        <w:t>increasing this year by 4.20</w:t>
      </w:r>
      <w:r w:rsidR="00943836">
        <w:t xml:space="preserve">.  The </w:t>
      </w:r>
      <w:r w:rsidR="00695F6E">
        <w:t>mean</w:t>
      </w:r>
      <w:r w:rsidR="00943836">
        <w:t xml:space="preserve"> is </w:t>
      </w:r>
      <w:r w:rsidR="00B45400">
        <w:t>still</w:t>
      </w:r>
      <w:r w:rsidR="00E16362">
        <w:t xml:space="preserve"> 1.9</w:t>
      </w:r>
      <w:r w:rsidR="007A097B">
        <w:t xml:space="preserve"> </w:t>
      </w:r>
      <w:r w:rsidR="00C53AA4">
        <w:t>points</w:t>
      </w:r>
      <w:r w:rsidR="00AE7C97">
        <w:t xml:space="preserve"> below</w:t>
      </w:r>
      <w:r w:rsidR="00943836">
        <w:t xml:space="preserve"> the national </w:t>
      </w:r>
      <w:r w:rsidR="002A0F8A">
        <w:t>(All Employers</w:t>
      </w:r>
      <w:r w:rsidR="00F724A5">
        <w:t xml:space="preserve">) </w:t>
      </w:r>
      <w:r w:rsidR="00943836">
        <w:t xml:space="preserve">figure of </w:t>
      </w:r>
      <w:r w:rsidR="00473461">
        <w:t>13</w:t>
      </w:r>
      <w:r w:rsidR="185D45BE">
        <w:t>.</w:t>
      </w:r>
      <w:r w:rsidR="00473461">
        <w:t>8</w:t>
      </w:r>
      <w:r w:rsidR="00943836">
        <w:t>% (source ONS 202</w:t>
      </w:r>
      <w:r w:rsidR="00473461">
        <w:t>4</w:t>
      </w:r>
      <w:r w:rsidR="00943836">
        <w:t xml:space="preserve">) </w:t>
      </w:r>
      <w:r w:rsidR="00BC3E1E">
        <w:t>and</w:t>
      </w:r>
      <w:r w:rsidR="004911AF">
        <w:t xml:space="preserve"> </w:t>
      </w:r>
      <w:r w:rsidR="00A67624">
        <w:t>below</w:t>
      </w:r>
      <w:r w:rsidR="00943836">
        <w:t xml:space="preserve"> </w:t>
      </w:r>
      <w:r w:rsidR="00BC3E1E">
        <w:t>(</w:t>
      </w:r>
      <w:r w:rsidR="00DA039B">
        <w:t>0</w:t>
      </w:r>
      <w:r w:rsidR="000000F2">
        <w:t>.</w:t>
      </w:r>
      <w:r w:rsidR="007D1129">
        <w:t>6</w:t>
      </w:r>
      <w:r w:rsidR="000000F2">
        <w:t xml:space="preserve"> points)</w:t>
      </w:r>
      <w:r w:rsidR="00797B00">
        <w:t xml:space="preserve"> </w:t>
      </w:r>
      <w:r w:rsidR="00943836">
        <w:t>for the education sector (</w:t>
      </w:r>
      <w:r w:rsidR="004911AF">
        <w:t>1</w:t>
      </w:r>
      <w:r w:rsidR="001219B7">
        <w:t>2.5</w:t>
      </w:r>
      <w:r w:rsidR="00943836">
        <w:t xml:space="preserve">%).  The </w:t>
      </w:r>
      <w:r w:rsidR="001219B7">
        <w:t xml:space="preserve">median </w:t>
      </w:r>
      <w:r w:rsidR="0075298C">
        <w:t>is</w:t>
      </w:r>
      <w:r w:rsidR="00913B84">
        <w:t xml:space="preserve"> </w:t>
      </w:r>
      <w:r w:rsidR="00031080">
        <w:t xml:space="preserve">4.66 </w:t>
      </w:r>
      <w:r w:rsidR="00762E79">
        <w:t>points above</w:t>
      </w:r>
      <w:r w:rsidR="00943836">
        <w:t xml:space="preserve"> the national mean of 13.</w:t>
      </w:r>
      <w:r w:rsidR="007B0FBA">
        <w:t>8</w:t>
      </w:r>
      <w:r w:rsidR="00943836">
        <w:t xml:space="preserve">% and </w:t>
      </w:r>
      <w:r w:rsidR="00350182">
        <w:t>fractionally higher (</w:t>
      </w:r>
      <w:r w:rsidR="00DA039B">
        <w:t>0</w:t>
      </w:r>
      <w:r w:rsidR="00350182">
        <w:t>.5</w:t>
      </w:r>
      <w:r w:rsidR="00364202">
        <w:t xml:space="preserve"> points)</w:t>
      </w:r>
      <w:r w:rsidR="00943836">
        <w:t xml:space="preserve"> than </w:t>
      </w:r>
      <w:r w:rsidR="008B2016">
        <w:t xml:space="preserve">the </w:t>
      </w:r>
      <w:r w:rsidR="00640975">
        <w:t>median within our</w:t>
      </w:r>
      <w:r w:rsidR="00943836">
        <w:t xml:space="preserve"> sector (</w:t>
      </w:r>
      <w:r w:rsidR="00A731B5">
        <w:t>12.5</w:t>
      </w:r>
      <w:r w:rsidR="00943836">
        <w:t xml:space="preserve">%).  </w:t>
      </w:r>
    </w:p>
    <w:p w14:paraId="58A6CE3F" w14:textId="77777777" w:rsidR="00BB52EC" w:rsidRDefault="00BB52EC" w:rsidP="00AA161F">
      <w:pPr>
        <w:pStyle w:val="NoSpacing"/>
      </w:pPr>
    </w:p>
    <w:p w14:paraId="12EA9A79" w14:textId="0C468CA6" w:rsidR="00F23AAF" w:rsidRDefault="00F23AAF" w:rsidP="00AA161F">
      <w:pPr>
        <w:pStyle w:val="NoSpacing"/>
      </w:pPr>
      <w:r>
        <w:t>In the year to 31 March 20</w:t>
      </w:r>
      <w:r w:rsidR="003E2C24">
        <w:t>24</w:t>
      </w:r>
      <w:r>
        <w:t xml:space="preserve">, the </w:t>
      </w:r>
      <w:r w:rsidR="00E46920">
        <w:t>percentage breakdown</w:t>
      </w:r>
      <w:r>
        <w:t xml:space="preserve"> for each staff group w</w:t>
      </w:r>
      <w:r w:rsidR="00E46920">
        <w:t>as</w:t>
      </w:r>
      <w:r>
        <w:t xml:space="preserve"> as follows:</w:t>
      </w:r>
    </w:p>
    <w:p w14:paraId="2C07132B" w14:textId="7DE83411" w:rsidR="003E2C24" w:rsidRDefault="003E2C24" w:rsidP="00AA161F">
      <w:pPr>
        <w:pStyle w:val="NoSpacing"/>
      </w:pPr>
    </w:p>
    <w:p w14:paraId="37BF44B3" w14:textId="501AB3AC" w:rsidR="003E2C24" w:rsidRDefault="007544F4" w:rsidP="3EBFFBEE">
      <w:r>
        <w:rPr>
          <w:noProof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318AB254">
        <w:rPr>
          <w:noProof/>
        </w:rPr>
        <w:drawing>
          <wp:inline distT="0" distB="0" distL="0" distR="0" wp14:anchorId="31A782D3" wp14:editId="213262B5">
            <wp:extent cx="5723890" cy="1743075"/>
            <wp:effectExtent l="0" t="0" r="0" b="9525"/>
            <wp:docPr id="76203202" name="Picture 7620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86" cy="174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D1669" w14:textId="1FFBBCD5" w:rsidR="5393F957" w:rsidRDefault="5393F957"/>
    <w:p w14:paraId="7BBA7455" w14:textId="006AA132" w:rsidR="1DF185E0" w:rsidRDefault="1DF185E0"/>
    <w:p w14:paraId="2E9F7361" w14:textId="6DC403EE" w:rsidR="1DF185E0" w:rsidRDefault="1DF185E0"/>
    <w:p w14:paraId="0D23E129" w14:textId="34519BB0" w:rsidR="7B7FEC69" w:rsidRDefault="00F96819" w:rsidP="7B7FEC69">
      <w:pPr>
        <w:pStyle w:val="NoSpacing"/>
      </w:pPr>
      <w:r>
        <w:t xml:space="preserve">The number of females in managerial roles </w:t>
      </w:r>
      <w:r w:rsidR="003F3B22">
        <w:t xml:space="preserve">increased in the last 12 months and now exceeds the number of males. </w:t>
      </w:r>
      <w:r w:rsidR="00FC58B7">
        <w:t xml:space="preserve"> However, </w:t>
      </w:r>
      <w:r w:rsidR="00CD44B1">
        <w:t>the gender pay gap results are predominantly driven by the significant levels of females in support roles (over a third of our workforce) which are lower paid roles. This</w:t>
      </w:r>
      <w:r w:rsidR="00406A97">
        <w:t xml:space="preserve"> impacts particularly the median salary</w:t>
      </w:r>
      <w:r w:rsidR="00CD44B1">
        <w:t xml:space="preserve"> outcomes for the College</w:t>
      </w:r>
      <w:r w:rsidR="00406A97">
        <w:t>.</w:t>
      </w:r>
    </w:p>
    <w:p w14:paraId="1D9C4468" w14:textId="18D437EC" w:rsidR="00CD44B1" w:rsidRDefault="00CD44B1" w:rsidP="00AA161F">
      <w:pPr>
        <w:pStyle w:val="NoSpacing"/>
      </w:pPr>
    </w:p>
    <w:p w14:paraId="1C5B0727" w14:textId="44EA13E0" w:rsidR="00F23AAF" w:rsidRDefault="0065354C" w:rsidP="00F23AAF">
      <w:pPr>
        <w:pStyle w:val="NoSpacing"/>
      </w:pPr>
      <w:r>
        <w:t>Posts</w:t>
      </w:r>
      <w:r w:rsidR="00F23AAF">
        <w:t xml:space="preserve"> in the lower and lower-middle quartiles</w:t>
      </w:r>
      <w:r>
        <w:t xml:space="preserve"> </w:t>
      </w:r>
      <w:r w:rsidR="00F23AAF">
        <w:t>include Kitchen Assistants</w:t>
      </w:r>
      <w:r w:rsidR="00206863">
        <w:t xml:space="preserve">, </w:t>
      </w:r>
      <w:r w:rsidR="006E3C61">
        <w:t>Learning Support Assistant</w:t>
      </w:r>
      <w:r w:rsidR="00F24B6C">
        <w:t>s</w:t>
      </w:r>
      <w:r w:rsidR="00AD7BBA">
        <w:t xml:space="preserve"> </w:t>
      </w:r>
      <w:r w:rsidR="00F23AAF">
        <w:t xml:space="preserve">and Nursery Nurses – roles that are </w:t>
      </w:r>
      <w:r w:rsidR="00CD44B1">
        <w:t>often</w:t>
      </w:r>
      <w:r w:rsidR="00F23AAF">
        <w:t xml:space="preserve"> part-time </w:t>
      </w:r>
      <w:r w:rsidR="00487357">
        <w:t>and/or</w:t>
      </w:r>
      <w:r w:rsidR="00F23AAF">
        <w:t xml:space="preserve"> attract </w:t>
      </w:r>
      <w:r w:rsidR="00487357">
        <w:t>main</w:t>
      </w:r>
      <w:r w:rsidR="00F23AAF">
        <w:t>ly female applicants</w:t>
      </w:r>
      <w:r w:rsidR="00F23AAF" w:rsidRPr="00595FAF">
        <w:t xml:space="preserve">.  </w:t>
      </w:r>
      <w:r w:rsidR="00FC58B7">
        <w:t xml:space="preserve">The College has a </w:t>
      </w:r>
      <w:r w:rsidR="00567D6E">
        <w:t xml:space="preserve">large SEND provision, which means there are </w:t>
      </w:r>
      <w:bookmarkStart w:id="0" w:name="_Int_2L4KqLr2"/>
      <w:r w:rsidR="00567D6E">
        <w:t>a large number of</w:t>
      </w:r>
      <w:bookmarkEnd w:id="0"/>
      <w:r w:rsidR="00567D6E">
        <w:t xml:space="preserve"> Learning Support Assistants providing support to SEND students.</w:t>
      </w:r>
      <w:r w:rsidR="003A262E">
        <w:t xml:space="preserve"> </w:t>
      </w:r>
      <w:r w:rsidR="00F23AAF" w:rsidRPr="001027DE">
        <w:t>In the 12 months to 31 March 20</w:t>
      </w:r>
      <w:r w:rsidR="00EB70B5" w:rsidRPr="001027DE">
        <w:t>2</w:t>
      </w:r>
      <w:r w:rsidR="003F3B22">
        <w:t>4</w:t>
      </w:r>
      <w:r w:rsidR="00F23AAF" w:rsidRPr="001027DE">
        <w:t xml:space="preserve">, </w:t>
      </w:r>
      <w:r w:rsidR="005865B5">
        <w:t>39</w:t>
      </w:r>
      <w:r w:rsidR="00F23AAF" w:rsidRPr="001027DE">
        <w:t xml:space="preserve"> females</w:t>
      </w:r>
      <w:r w:rsidR="000666B4" w:rsidRPr="001027DE">
        <w:t xml:space="preserve"> and </w:t>
      </w:r>
      <w:r w:rsidR="00F55C52">
        <w:t>10</w:t>
      </w:r>
      <w:r w:rsidR="002340FF" w:rsidRPr="001027DE">
        <w:t xml:space="preserve"> males</w:t>
      </w:r>
      <w:r w:rsidR="00F23AAF" w:rsidRPr="001027DE">
        <w:t xml:space="preserve"> applied for </w:t>
      </w:r>
      <w:r w:rsidR="00F24B6C">
        <w:t xml:space="preserve">these </w:t>
      </w:r>
      <w:r w:rsidR="00F23AAF" w:rsidRPr="001027DE">
        <w:t>vacancies</w:t>
      </w:r>
      <w:r w:rsidR="00F24B6C">
        <w:t xml:space="preserve"> which are</w:t>
      </w:r>
      <w:r w:rsidR="00F23AAF" w:rsidRPr="001027DE">
        <w:t xml:space="preserve"> in the lower quartile.  </w:t>
      </w:r>
      <w:r w:rsidR="00AA082A">
        <w:t>76</w:t>
      </w:r>
      <w:r w:rsidR="00F23AAF" w:rsidRPr="001027DE">
        <w:t>% of those appointed to these roles were female</w:t>
      </w:r>
      <w:r w:rsidR="00D04C43" w:rsidRPr="001027DE">
        <w:t xml:space="preserve">, which is </w:t>
      </w:r>
      <w:r w:rsidR="002A0436">
        <w:t>a</w:t>
      </w:r>
      <w:r w:rsidR="00AA082A">
        <w:t>n</w:t>
      </w:r>
      <w:r w:rsidR="002A0436">
        <w:t xml:space="preserve"> </w:t>
      </w:r>
      <w:r w:rsidR="00AA082A">
        <w:t>in</w:t>
      </w:r>
      <w:r w:rsidR="001411F2">
        <w:t>crease</w:t>
      </w:r>
      <w:r w:rsidR="002A0436">
        <w:t xml:space="preserve"> from the figure of </w:t>
      </w:r>
      <w:r w:rsidR="00AA082A">
        <w:t>72</w:t>
      </w:r>
      <w:r w:rsidR="002A0436">
        <w:t>% in the previous year</w:t>
      </w:r>
      <w:r w:rsidR="0003771C">
        <w:t>.</w:t>
      </w:r>
    </w:p>
    <w:p w14:paraId="0B903A64" w14:textId="77777777" w:rsidR="00660E94" w:rsidRDefault="00660E94" w:rsidP="00F23AAF">
      <w:pPr>
        <w:pStyle w:val="NoSpacing"/>
      </w:pPr>
    </w:p>
    <w:p w14:paraId="634FA402" w14:textId="09AEC609" w:rsidR="00660E94" w:rsidRDefault="00660E94" w:rsidP="00F23AAF">
      <w:pPr>
        <w:pStyle w:val="NoSpacing"/>
      </w:pPr>
      <w:r>
        <w:t>In the 12 months up to 31 March 202</w:t>
      </w:r>
      <w:r w:rsidR="00DE1FF6">
        <w:t>4</w:t>
      </w:r>
      <w:r>
        <w:t xml:space="preserve">, </w:t>
      </w:r>
      <w:r w:rsidR="00DE1FF6">
        <w:t>12</w:t>
      </w:r>
      <w:r w:rsidR="00A1044F">
        <w:t xml:space="preserve"> of the </w:t>
      </w:r>
      <w:r w:rsidR="00DD4401">
        <w:t xml:space="preserve">17 </w:t>
      </w:r>
      <w:r>
        <w:t>staff who had internal promotions were female.</w:t>
      </w:r>
    </w:p>
    <w:p w14:paraId="33695C47" w14:textId="77777777" w:rsidR="00132C8A" w:rsidRDefault="00132C8A" w:rsidP="00F23AAF">
      <w:pPr>
        <w:pStyle w:val="NoSpacing"/>
      </w:pPr>
    </w:p>
    <w:p w14:paraId="332A17D9" w14:textId="673C851C" w:rsidR="00F23AAF" w:rsidRDefault="002A0436" w:rsidP="00AA161F">
      <w:pPr>
        <w:pStyle w:val="NoSpacing"/>
      </w:pPr>
      <w:r>
        <w:t>As in previous years. t</w:t>
      </w:r>
      <w:r w:rsidR="00810EB3">
        <w:t xml:space="preserve">he data </w:t>
      </w:r>
      <w:r>
        <w:t>reflects</w:t>
      </w:r>
      <w:r w:rsidR="00F23AAF">
        <w:t xml:space="preserve"> that the pay gap </w:t>
      </w:r>
      <w:r w:rsidR="000A1F60">
        <w:t>remains</w:t>
      </w:r>
      <w:r w:rsidR="00F23AAF">
        <w:t xml:space="preserve"> largely due to the choices individuals make to undertake </w:t>
      </w:r>
      <w:r w:rsidR="00D71AF8">
        <w:t>roles</w:t>
      </w:r>
      <w:r w:rsidR="00F23AAF">
        <w:t xml:space="preserve"> which enable them to work flexibly, </w:t>
      </w:r>
      <w:r w:rsidR="00E83940">
        <w:t>e.g.,</w:t>
      </w:r>
      <w:r w:rsidR="00F23AAF">
        <w:t xml:space="preserve"> term-time only and/or part-time.</w:t>
      </w:r>
      <w:r w:rsidR="000A1F60">
        <w:t xml:space="preserve">  </w:t>
      </w:r>
    </w:p>
    <w:p w14:paraId="4D140D13" w14:textId="77777777" w:rsidR="00477BFC" w:rsidRDefault="00477BFC" w:rsidP="00AA161F">
      <w:pPr>
        <w:pStyle w:val="NoSpacing"/>
      </w:pPr>
    </w:p>
    <w:p w14:paraId="256BBC1B" w14:textId="5A46BC6C" w:rsidR="00121A39" w:rsidRDefault="00477BFC" w:rsidP="00AA161F">
      <w:pPr>
        <w:pStyle w:val="NoSpacing"/>
      </w:pPr>
      <w:r>
        <w:t>For all vacancies in the 12</w:t>
      </w:r>
      <w:r w:rsidR="4365A01F">
        <w:t>-</w:t>
      </w:r>
      <w:r>
        <w:t xml:space="preserve">month period to </w:t>
      </w:r>
      <w:r w:rsidRPr="00C04A3E">
        <w:t>31 March 202</w:t>
      </w:r>
      <w:r w:rsidR="00DD4401">
        <w:t>4</w:t>
      </w:r>
      <w:r w:rsidRPr="00C04A3E">
        <w:t xml:space="preserve">, </w:t>
      </w:r>
      <w:r w:rsidR="009424E2">
        <w:t>61</w:t>
      </w:r>
      <w:r w:rsidR="000C4B90" w:rsidRPr="00C04A3E">
        <w:t xml:space="preserve">% of applicants were female and </w:t>
      </w:r>
      <w:r w:rsidR="009424E2">
        <w:t>63</w:t>
      </w:r>
      <w:r w:rsidR="000C4B90" w:rsidRPr="00C04A3E">
        <w:t>%</w:t>
      </w:r>
      <w:r w:rsidR="000C4B90">
        <w:t xml:space="preserve"> of those appointed were female</w:t>
      </w:r>
      <w:r w:rsidR="001E0C7C">
        <w:t xml:space="preserve">.  </w:t>
      </w:r>
      <w:r w:rsidR="004745F2">
        <w:t>This is a</w:t>
      </w:r>
      <w:r w:rsidR="009424E2">
        <w:t>n increase</w:t>
      </w:r>
      <w:r w:rsidR="004745F2">
        <w:t xml:space="preserve"> from the previous year where </w:t>
      </w:r>
      <w:r w:rsidR="00793B72">
        <w:t>57</w:t>
      </w:r>
      <w:r w:rsidR="004745F2">
        <w:t xml:space="preserve">% of applicants were female and </w:t>
      </w:r>
      <w:r w:rsidR="00793B72">
        <w:t>65</w:t>
      </w:r>
      <w:r w:rsidR="001D2A10">
        <w:t>% of those appointed were female.</w:t>
      </w:r>
    </w:p>
    <w:p w14:paraId="6CF7E86B" w14:textId="77777777" w:rsidR="001D2A10" w:rsidRDefault="001D2A10" w:rsidP="00AA161F">
      <w:pPr>
        <w:pStyle w:val="NoSpacing"/>
      </w:pPr>
    </w:p>
    <w:p w14:paraId="33685138" w14:textId="0814BF41" w:rsidR="00F9549B" w:rsidRDefault="00F9549B" w:rsidP="00AA161F">
      <w:pPr>
        <w:pStyle w:val="NoSpacing"/>
      </w:pPr>
      <w:r>
        <w:rPr>
          <w:b/>
        </w:rPr>
        <w:t>Actions to address City College Norwich’s Gender Pay Gap</w:t>
      </w:r>
    </w:p>
    <w:p w14:paraId="1EF9D4D7" w14:textId="716706BB" w:rsidR="00F9549B" w:rsidRDefault="00F9549B" w:rsidP="00AA161F">
      <w:pPr>
        <w:pStyle w:val="NoSpacing"/>
      </w:pPr>
    </w:p>
    <w:p w14:paraId="187A30D8" w14:textId="1C245758" w:rsidR="00F9549B" w:rsidRDefault="002879EC" w:rsidP="00AA161F">
      <w:pPr>
        <w:pStyle w:val="NoSpacing"/>
      </w:pPr>
      <w:r>
        <w:t>The College undertakes the following steps to promote gender diversity in all areas of the workforce:</w:t>
      </w:r>
    </w:p>
    <w:p w14:paraId="39377E12" w14:textId="20EC4DBC" w:rsidR="002879EC" w:rsidRDefault="002879EC" w:rsidP="00AA161F">
      <w:pPr>
        <w:pStyle w:val="NoSpacing"/>
      </w:pPr>
    </w:p>
    <w:p w14:paraId="02020BF2" w14:textId="57BFB661" w:rsidR="002879EC" w:rsidRPr="00822D3E" w:rsidRDefault="00A80AFC" w:rsidP="00A4498F">
      <w:pPr>
        <w:pStyle w:val="NoSpacing"/>
        <w:numPr>
          <w:ilvl w:val="0"/>
          <w:numId w:val="2"/>
        </w:numPr>
        <w:rPr>
          <w:b/>
        </w:rPr>
      </w:pPr>
      <w:r w:rsidRPr="001F4C3A">
        <w:rPr>
          <w:b/>
        </w:rPr>
        <w:t>Creating an Evidence Base</w:t>
      </w:r>
      <w:r w:rsidR="002879EC">
        <w:t>:</w:t>
      </w:r>
      <w:r w:rsidR="00EB5F2B">
        <w:t xml:space="preserve">  To </w:t>
      </w:r>
      <w:r w:rsidR="00C2169B">
        <w:t>identify any barriers to gender equality and to help us set priorities for action</w:t>
      </w:r>
      <w:r w:rsidR="00257E7E">
        <w:t>.  We currently monitor the following</w:t>
      </w:r>
      <w:r w:rsidR="00C722BE">
        <w:t xml:space="preserve"> data:</w:t>
      </w:r>
    </w:p>
    <w:p w14:paraId="70C491C9" w14:textId="77777777" w:rsidR="00822D3E" w:rsidRPr="001F4C3A" w:rsidRDefault="00822D3E" w:rsidP="00822D3E">
      <w:pPr>
        <w:pStyle w:val="NoSpacing"/>
        <w:ind w:left="720"/>
        <w:rPr>
          <w:b/>
        </w:rPr>
      </w:pPr>
    </w:p>
    <w:p w14:paraId="49B351DD" w14:textId="7E78FF3B" w:rsidR="002879EC" w:rsidRDefault="002879EC" w:rsidP="002879EC">
      <w:pPr>
        <w:pStyle w:val="NoSpacing"/>
        <w:numPr>
          <w:ilvl w:val="1"/>
          <w:numId w:val="2"/>
        </w:numPr>
      </w:pPr>
      <w:r>
        <w:t xml:space="preserve">the proportion of men and women applying for jobs and being shortlisted and </w:t>
      </w:r>
      <w:r w:rsidR="00D2405D">
        <w:t>recruited.</w:t>
      </w:r>
    </w:p>
    <w:p w14:paraId="5DC5B33E" w14:textId="733FF092" w:rsidR="002879EC" w:rsidRDefault="002879EC" w:rsidP="002879EC">
      <w:pPr>
        <w:pStyle w:val="NoSpacing"/>
        <w:numPr>
          <w:ilvl w:val="1"/>
          <w:numId w:val="2"/>
        </w:numPr>
      </w:pPr>
      <w:r>
        <w:t>the proportions of men and women applying for and obtaining internal promotions</w:t>
      </w:r>
    </w:p>
    <w:p w14:paraId="76FD0301" w14:textId="6867744D" w:rsidR="002879EC" w:rsidRDefault="00685343" w:rsidP="002879EC">
      <w:pPr>
        <w:pStyle w:val="NoSpacing"/>
        <w:numPr>
          <w:ilvl w:val="1"/>
          <w:numId w:val="2"/>
        </w:numPr>
      </w:pPr>
      <w:r>
        <w:t>the proportions of men and women leaving the organisation and reasons for leaving</w:t>
      </w:r>
    </w:p>
    <w:p w14:paraId="63E58EDA" w14:textId="2091F1B8" w:rsidR="00685343" w:rsidRDefault="00685343" w:rsidP="002879EC">
      <w:pPr>
        <w:pStyle w:val="NoSpacing"/>
        <w:numPr>
          <w:ilvl w:val="1"/>
          <w:numId w:val="2"/>
        </w:numPr>
      </w:pPr>
      <w:r>
        <w:t xml:space="preserve">the numbers of men and women in each role and pay </w:t>
      </w:r>
      <w:r w:rsidR="00495250">
        <w:t>band.</w:t>
      </w:r>
    </w:p>
    <w:p w14:paraId="6A33E013" w14:textId="769263F3" w:rsidR="00536C80" w:rsidRDefault="00536C80" w:rsidP="00536C80">
      <w:pPr>
        <w:pStyle w:val="NoSpacing"/>
        <w:numPr>
          <w:ilvl w:val="1"/>
          <w:numId w:val="2"/>
        </w:numPr>
      </w:pPr>
      <w:r>
        <w:t xml:space="preserve">The College </w:t>
      </w:r>
      <w:r w:rsidR="00332ECA">
        <w:t>examines</w:t>
      </w:r>
      <w:r>
        <w:t xml:space="preserve"> the data produced by the surveys completed by starters in their first </w:t>
      </w:r>
      <w:r w:rsidR="000A5119">
        <w:t>3</w:t>
      </w:r>
      <w:r>
        <w:t xml:space="preserve"> months of employment and leavers.  </w:t>
      </w:r>
      <w:r w:rsidR="00822067">
        <w:t>Feedback is generally in relation to career development</w:t>
      </w:r>
      <w:r w:rsidR="00C45016">
        <w:t xml:space="preserve"> and reward and recognition.</w:t>
      </w:r>
    </w:p>
    <w:p w14:paraId="169F22C1" w14:textId="2A15CFEC" w:rsidR="00D0022B" w:rsidRDefault="00D0022B" w:rsidP="00536C80">
      <w:pPr>
        <w:pStyle w:val="NoSpacing"/>
        <w:numPr>
          <w:ilvl w:val="1"/>
          <w:numId w:val="2"/>
        </w:numPr>
      </w:pPr>
      <w:r>
        <w:lastRenderedPageBreak/>
        <w:t xml:space="preserve">The College reviews the feedback in exit interviews to identify any </w:t>
      </w:r>
      <w:r w:rsidR="001D159C">
        <w:t>issues of equality</w:t>
      </w:r>
      <w:r w:rsidR="004C12D9">
        <w:t xml:space="preserve"> being reported as reasons for </w:t>
      </w:r>
      <w:r w:rsidR="00495250">
        <w:t>leaving.</w:t>
      </w:r>
    </w:p>
    <w:p w14:paraId="690F2425" w14:textId="77777777" w:rsidR="00327FC6" w:rsidRDefault="00327FC6" w:rsidP="00327FC6">
      <w:pPr>
        <w:pStyle w:val="NoSpacing"/>
        <w:ind w:left="1440"/>
      </w:pPr>
    </w:p>
    <w:p w14:paraId="4E4AB2A6" w14:textId="77777777" w:rsidR="00327FC6" w:rsidRDefault="00327FC6" w:rsidP="00327FC6">
      <w:pPr>
        <w:pStyle w:val="NoSpacing"/>
        <w:ind w:left="720"/>
      </w:pPr>
      <w:r>
        <w:t>Summary information is highlighted in the Annual HR Report that is presented to the City College Norwich Governors.</w:t>
      </w:r>
    </w:p>
    <w:p w14:paraId="511E400B" w14:textId="77777777" w:rsidR="00D63C3E" w:rsidRDefault="00D63C3E" w:rsidP="00D63C3E">
      <w:pPr>
        <w:pStyle w:val="NoSpacing"/>
        <w:ind w:left="1440"/>
      </w:pPr>
    </w:p>
    <w:p w14:paraId="4D82796A" w14:textId="7CE600AA" w:rsidR="00D63C3E" w:rsidRDefault="00FC2B51" w:rsidP="00D63C3E">
      <w:pPr>
        <w:pStyle w:val="NoSpacing"/>
        <w:ind w:left="720"/>
      </w:pPr>
      <w:r>
        <w:t>T</w:t>
      </w:r>
      <w:r w:rsidR="00AC2D57">
        <w:t>o ensure consistency</w:t>
      </w:r>
      <w:r>
        <w:t>,</w:t>
      </w:r>
      <w:r w:rsidR="00AC2D57">
        <w:t xml:space="preserve"> </w:t>
      </w:r>
      <w:r>
        <w:t>t</w:t>
      </w:r>
      <w:r w:rsidR="00FF35DE">
        <w:t xml:space="preserve">he College </w:t>
      </w:r>
      <w:r w:rsidR="00D63C3E">
        <w:t>additionally monit</w:t>
      </w:r>
      <w:r w:rsidR="00FF35DE">
        <w:t>ors</w:t>
      </w:r>
      <w:r w:rsidR="00D63C3E">
        <w:t>:</w:t>
      </w:r>
    </w:p>
    <w:p w14:paraId="1D80C097" w14:textId="77777777" w:rsidR="00D63C3E" w:rsidRDefault="00D63C3E" w:rsidP="00D63C3E">
      <w:pPr>
        <w:pStyle w:val="NoSpacing"/>
        <w:ind w:left="720"/>
      </w:pPr>
    </w:p>
    <w:p w14:paraId="79B11501" w14:textId="1EB46EE0" w:rsidR="00CB1C92" w:rsidRDefault="00D63C3E" w:rsidP="00CB1C92">
      <w:pPr>
        <w:pStyle w:val="NoSpacing"/>
        <w:numPr>
          <w:ilvl w:val="1"/>
          <w:numId w:val="2"/>
        </w:numPr>
      </w:pPr>
      <w:r>
        <w:t xml:space="preserve">the number of men and women working flexibly </w:t>
      </w:r>
      <w:r w:rsidR="00CB1C92">
        <w:t xml:space="preserve">and </w:t>
      </w:r>
      <w:r>
        <w:t>the level within the organisation</w:t>
      </w:r>
      <w:r w:rsidR="00CB1C92">
        <w:t>.</w:t>
      </w:r>
    </w:p>
    <w:p w14:paraId="2718CE76" w14:textId="0B0E3742" w:rsidR="00D63C3E" w:rsidRDefault="00822D3E" w:rsidP="00CB1C92">
      <w:pPr>
        <w:pStyle w:val="NoSpacing"/>
        <w:numPr>
          <w:ilvl w:val="1"/>
          <w:numId w:val="2"/>
        </w:numPr>
      </w:pPr>
      <w:r>
        <w:t xml:space="preserve">the number of men and women who have </w:t>
      </w:r>
      <w:r w:rsidR="00AC2D57">
        <w:t xml:space="preserve">had </w:t>
      </w:r>
      <w:r>
        <w:t>applications to work flexibly declined</w:t>
      </w:r>
      <w:r w:rsidR="00495250">
        <w:t>.</w:t>
      </w:r>
    </w:p>
    <w:p w14:paraId="2FC4AC75" w14:textId="5E9B431A" w:rsidR="00D63C3E" w:rsidRDefault="00D63C3E" w:rsidP="00D63C3E">
      <w:pPr>
        <w:pStyle w:val="NoSpacing"/>
        <w:ind w:left="720"/>
      </w:pPr>
    </w:p>
    <w:p w14:paraId="21BF6853" w14:textId="77777777" w:rsidR="003543D9" w:rsidRDefault="003543D9" w:rsidP="00D63C3E">
      <w:pPr>
        <w:pStyle w:val="NoSpacing"/>
        <w:ind w:left="720"/>
      </w:pPr>
    </w:p>
    <w:p w14:paraId="1240D51D" w14:textId="77777777" w:rsidR="00685343" w:rsidRPr="00D400E7" w:rsidRDefault="00D400E7" w:rsidP="00725B2A">
      <w:pPr>
        <w:pStyle w:val="NoSpacing"/>
        <w:numPr>
          <w:ilvl w:val="0"/>
          <w:numId w:val="2"/>
        </w:numPr>
      </w:pPr>
      <w:r>
        <w:rPr>
          <w:b/>
        </w:rPr>
        <w:t>R</w:t>
      </w:r>
      <w:r w:rsidR="00725B2A">
        <w:rPr>
          <w:b/>
        </w:rPr>
        <w:t xml:space="preserve">ecruitment </w:t>
      </w:r>
      <w:r>
        <w:rPr>
          <w:b/>
        </w:rPr>
        <w:t>and Selection</w:t>
      </w:r>
    </w:p>
    <w:p w14:paraId="30F1B031" w14:textId="77777777" w:rsidR="00D400E7" w:rsidRPr="00D400E7" w:rsidRDefault="00D400E7" w:rsidP="00D400E7">
      <w:pPr>
        <w:pStyle w:val="NoSpacing"/>
        <w:ind w:left="720"/>
      </w:pPr>
    </w:p>
    <w:p w14:paraId="7929E503" w14:textId="31204153" w:rsidR="00725B2A" w:rsidRDefault="00D400E7" w:rsidP="00D400E7">
      <w:pPr>
        <w:pStyle w:val="NoSpacing"/>
        <w:numPr>
          <w:ilvl w:val="1"/>
          <w:numId w:val="2"/>
        </w:numPr>
      </w:pPr>
      <w:r>
        <w:t>The College ensures that interview panels are comprised of the appropriate gender balance that reflects the genders of the candidates being interviewed.</w:t>
      </w:r>
    </w:p>
    <w:p w14:paraId="3D76E99D" w14:textId="33115434" w:rsidR="009D331F" w:rsidRDefault="009D331F" w:rsidP="00D400E7">
      <w:pPr>
        <w:pStyle w:val="NoSpacing"/>
        <w:numPr>
          <w:ilvl w:val="1"/>
          <w:numId w:val="2"/>
        </w:numPr>
      </w:pPr>
      <w:r>
        <w:t xml:space="preserve">The College offers secondment opportunities for some roles, encouraging staff to be developed into senior </w:t>
      </w:r>
      <w:r w:rsidR="00495250">
        <w:t>roles.</w:t>
      </w:r>
    </w:p>
    <w:p w14:paraId="5C61B8E7" w14:textId="59E7F51D" w:rsidR="005B048B" w:rsidRDefault="00E57522" w:rsidP="00D400E7">
      <w:pPr>
        <w:pStyle w:val="NoSpacing"/>
        <w:numPr>
          <w:ilvl w:val="1"/>
          <w:numId w:val="2"/>
        </w:numPr>
      </w:pPr>
      <w:r>
        <w:t>The College is making greater use of open events to promote its vacancies and the benefits of working at the College</w:t>
      </w:r>
      <w:r w:rsidR="00011588">
        <w:t>.  This includes working with the Job Centre</w:t>
      </w:r>
      <w:r w:rsidR="00EA1D9E">
        <w:t xml:space="preserve"> to attend days </w:t>
      </w:r>
      <w:r w:rsidR="002F484A">
        <w:t>aimed at encouraging candidates with protected characteristics.</w:t>
      </w:r>
    </w:p>
    <w:p w14:paraId="75A92AAD" w14:textId="5F446912" w:rsidR="00527002" w:rsidRDefault="00527002" w:rsidP="00725B2A">
      <w:pPr>
        <w:pStyle w:val="NoSpacing"/>
        <w:numPr>
          <w:ilvl w:val="1"/>
          <w:numId w:val="2"/>
        </w:numPr>
      </w:pPr>
      <w:r>
        <w:t>The College continues to work with Vercida who in addition to advertising the roles, adds features about working at the College in relation to diversity</w:t>
      </w:r>
      <w:r w:rsidR="008D0727">
        <w:t>, highlighting areas of good practice</w:t>
      </w:r>
      <w:r>
        <w:t>.</w:t>
      </w:r>
    </w:p>
    <w:p w14:paraId="1FF3796C" w14:textId="14B96500" w:rsidR="007B2664" w:rsidRDefault="007B2664" w:rsidP="00725B2A">
      <w:pPr>
        <w:pStyle w:val="NoSpacing"/>
        <w:numPr>
          <w:ilvl w:val="1"/>
          <w:numId w:val="2"/>
        </w:numPr>
      </w:pPr>
      <w:r>
        <w:t xml:space="preserve">All staff taking part in interview panels </w:t>
      </w:r>
      <w:r w:rsidR="0021649A">
        <w:t>are</w:t>
      </w:r>
      <w:r>
        <w:t xml:space="preserve"> required to undertake training and there is an unconscious bias on-line training module that they can access.</w:t>
      </w:r>
    </w:p>
    <w:p w14:paraId="1D609D2C" w14:textId="77777777" w:rsidR="006077F9" w:rsidRDefault="006077F9" w:rsidP="006077F9">
      <w:pPr>
        <w:pStyle w:val="NoSpacing"/>
        <w:ind w:left="1440"/>
      </w:pPr>
    </w:p>
    <w:p w14:paraId="66EA239C" w14:textId="1E7A73B5" w:rsidR="006077F9" w:rsidRPr="006077F9" w:rsidRDefault="006077F9" w:rsidP="006077F9">
      <w:pPr>
        <w:pStyle w:val="NoSpacing"/>
        <w:numPr>
          <w:ilvl w:val="0"/>
          <w:numId w:val="2"/>
        </w:numPr>
      </w:pPr>
      <w:r>
        <w:rPr>
          <w:b/>
          <w:bCs/>
        </w:rPr>
        <w:t>Career Progression</w:t>
      </w:r>
    </w:p>
    <w:p w14:paraId="06F877EF" w14:textId="77777777" w:rsidR="006077F9" w:rsidRDefault="006077F9" w:rsidP="006077F9">
      <w:pPr>
        <w:pStyle w:val="NoSpacing"/>
        <w:ind w:left="720"/>
        <w:rPr>
          <w:b/>
          <w:bCs/>
        </w:rPr>
      </w:pPr>
    </w:p>
    <w:p w14:paraId="5FED8DE7" w14:textId="5BB1475A" w:rsidR="006077F9" w:rsidRDefault="00431292" w:rsidP="001545C2">
      <w:pPr>
        <w:pStyle w:val="NoSpacing"/>
        <w:numPr>
          <w:ilvl w:val="0"/>
          <w:numId w:val="6"/>
        </w:numPr>
      </w:pPr>
      <w:r>
        <w:t xml:space="preserve">The College actively supports all staff in career progression and work is currently underway on defining career pathways for particular roles.  The College </w:t>
      </w:r>
      <w:r w:rsidR="002857CC">
        <w:t>provides and supports opportunities for skills development.</w:t>
      </w:r>
    </w:p>
    <w:p w14:paraId="13687DEA" w14:textId="77777777" w:rsidR="00A06D83" w:rsidRDefault="00A06D83" w:rsidP="00A06D83">
      <w:pPr>
        <w:pStyle w:val="NoSpacing"/>
        <w:ind w:left="720"/>
      </w:pPr>
    </w:p>
    <w:p w14:paraId="4A33C5BC" w14:textId="76B21D4B" w:rsidR="00725B2A" w:rsidRPr="00725B2A" w:rsidRDefault="00725B2A" w:rsidP="00725B2A">
      <w:pPr>
        <w:pStyle w:val="NoSpacing"/>
        <w:numPr>
          <w:ilvl w:val="0"/>
          <w:numId w:val="2"/>
        </w:numPr>
      </w:pPr>
      <w:r>
        <w:rPr>
          <w:b/>
        </w:rPr>
        <w:t>Promoting Flexible Working and Family Friendly Policies</w:t>
      </w:r>
    </w:p>
    <w:p w14:paraId="2A1AB2D2" w14:textId="77777777" w:rsidR="00725B2A" w:rsidRDefault="00725B2A" w:rsidP="00725B2A">
      <w:pPr>
        <w:pStyle w:val="NoSpacing"/>
        <w:ind w:left="720"/>
      </w:pPr>
    </w:p>
    <w:p w14:paraId="6D15E2D0" w14:textId="0AA7797E" w:rsidR="00725B2A" w:rsidRDefault="00D7605F" w:rsidP="00725B2A">
      <w:pPr>
        <w:pStyle w:val="NoSpacing"/>
        <w:numPr>
          <w:ilvl w:val="1"/>
          <w:numId w:val="2"/>
        </w:numPr>
      </w:pPr>
      <w:r>
        <w:t xml:space="preserve">Despite </w:t>
      </w:r>
      <w:r w:rsidR="00ED71E6">
        <w:t xml:space="preserve">the front facing nature of the work </w:t>
      </w:r>
      <w:r>
        <w:t>within</w:t>
      </w:r>
      <w:r w:rsidR="00CF6DD2">
        <w:t xml:space="preserve"> the</w:t>
      </w:r>
      <w:r w:rsidR="00ED71E6">
        <w:t xml:space="preserve"> College, staff </w:t>
      </w:r>
      <w:r w:rsidR="002F484A">
        <w:t>continue to have the opportunity</w:t>
      </w:r>
      <w:r w:rsidR="00ED71E6">
        <w:t xml:space="preserve"> </w:t>
      </w:r>
      <w:r w:rsidR="005C7C65">
        <w:t xml:space="preserve">to </w:t>
      </w:r>
      <w:r w:rsidR="00ED71E6">
        <w:t>occasionally work from home</w:t>
      </w:r>
      <w:r w:rsidR="00663CDD">
        <w:t>, as well as</w:t>
      </w:r>
      <w:r w:rsidR="00C54C30">
        <w:t xml:space="preserve"> to</w:t>
      </w:r>
      <w:r w:rsidR="00663CDD">
        <w:t xml:space="preserve"> apply to work from home for part of their working week</w:t>
      </w:r>
      <w:r w:rsidR="00733992">
        <w:t xml:space="preserve"> depending on the role they perform</w:t>
      </w:r>
      <w:r w:rsidR="008769DD">
        <w:t>.  In addition. t</w:t>
      </w:r>
      <w:r w:rsidR="00725B2A">
        <w:t>he College continues to offer a range of flexible working opportunities for staff and applicants, as well as family friendly policies</w:t>
      </w:r>
      <w:r w:rsidR="007E2349">
        <w:t>, an on-site nursery</w:t>
      </w:r>
      <w:r w:rsidR="00725B2A">
        <w:t xml:space="preserve"> and </w:t>
      </w:r>
      <w:r w:rsidR="007E2349">
        <w:t xml:space="preserve">other </w:t>
      </w:r>
      <w:r w:rsidR="00725B2A">
        <w:t>benefits.  These are promoted both on the College’s website and in recruitment information.</w:t>
      </w:r>
    </w:p>
    <w:p w14:paraId="51D1A6F7" w14:textId="500F9F24" w:rsidR="00481582" w:rsidRDefault="00481582" w:rsidP="00481582">
      <w:pPr>
        <w:pStyle w:val="NoSpacing"/>
      </w:pPr>
    </w:p>
    <w:p w14:paraId="209234CA" w14:textId="2DD149B8" w:rsidR="002A6D97" w:rsidRDefault="00733992" w:rsidP="00481582">
      <w:pPr>
        <w:pStyle w:val="NoSpacing"/>
      </w:pPr>
      <w:r>
        <w:t xml:space="preserve">The College </w:t>
      </w:r>
      <w:r w:rsidR="00A322C2">
        <w:t xml:space="preserve">will continue to monitor its gender pay gap and </w:t>
      </w:r>
      <w:proofErr w:type="gramStart"/>
      <w:r w:rsidR="00A322C2">
        <w:t>take action</w:t>
      </w:r>
      <w:proofErr w:type="gramEnd"/>
      <w:r w:rsidR="00A322C2">
        <w:t xml:space="preserve"> where possible whilst recognising that the gap is due in the main to the roles staff choose to undertake</w:t>
      </w:r>
      <w:r w:rsidR="00B92009">
        <w:t>.</w:t>
      </w:r>
    </w:p>
    <w:p w14:paraId="67F0E7F7" w14:textId="77777777" w:rsidR="00B92009" w:rsidRDefault="00B92009" w:rsidP="00481582">
      <w:pPr>
        <w:pStyle w:val="NoSpacing"/>
      </w:pPr>
    </w:p>
    <w:p w14:paraId="2C04BBDC" w14:textId="5584F2ED" w:rsidR="002A6D97" w:rsidRDefault="002A6D97" w:rsidP="00481582">
      <w:pPr>
        <w:pStyle w:val="NoSpacing"/>
      </w:pPr>
      <w:r>
        <w:t>I confirm that the information in this statement is accurate.</w:t>
      </w:r>
    </w:p>
    <w:p w14:paraId="68683F2B" w14:textId="024C42FF" w:rsidR="002A6D97" w:rsidRDefault="002A6D97" w:rsidP="00481582">
      <w:pPr>
        <w:pStyle w:val="NoSpacing"/>
      </w:pPr>
    </w:p>
    <w:p w14:paraId="42B2D31B" w14:textId="684FB54A" w:rsidR="002A6D97" w:rsidRDefault="002A6D97" w:rsidP="00481582">
      <w:pPr>
        <w:pStyle w:val="NoSpacing"/>
      </w:pPr>
    </w:p>
    <w:p w14:paraId="54EAB910" w14:textId="77777777" w:rsidR="00386F9E" w:rsidRDefault="00386F9E" w:rsidP="00481582">
      <w:pPr>
        <w:pStyle w:val="NoSpacing"/>
      </w:pPr>
    </w:p>
    <w:p w14:paraId="7B67E8F6" w14:textId="2B268D1D" w:rsidR="00725B2A" w:rsidRDefault="00386F9E" w:rsidP="00386F9E">
      <w:pPr>
        <w:pStyle w:val="NoSpacing"/>
        <w:jc w:val="both"/>
      </w:pPr>
      <w:r>
        <w:t>Hilary Bright</w:t>
      </w:r>
    </w:p>
    <w:p w14:paraId="0100684E" w14:textId="406B1D4C" w:rsidR="00386F9E" w:rsidRDefault="00386F9E" w:rsidP="00386F9E">
      <w:pPr>
        <w:pStyle w:val="NoSpacing"/>
        <w:jc w:val="both"/>
      </w:pPr>
      <w:r>
        <w:t>Director of HR Services</w:t>
      </w:r>
    </w:p>
    <w:p w14:paraId="2C72D39B" w14:textId="77777777" w:rsidR="00AA161F" w:rsidRPr="00AA161F" w:rsidRDefault="00AA161F" w:rsidP="00AA161F">
      <w:pPr>
        <w:jc w:val="center"/>
        <w:rPr>
          <w:b/>
        </w:rPr>
      </w:pPr>
    </w:p>
    <w:sectPr w:rsidR="00AA161F" w:rsidRPr="00AA161F" w:rsidSect="00B81BF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L4KqLr2" int2:invalidationBookmarkName="" int2:hashCode="sar3mSXK+m9z5Y" int2:id="AeRYmOQ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6DF7"/>
    <w:multiLevelType w:val="hybridMultilevel"/>
    <w:tmpl w:val="4D74AB14"/>
    <w:lvl w:ilvl="0" w:tplc="0720AA86">
      <w:start w:val="17"/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17A1"/>
    <w:multiLevelType w:val="hybridMultilevel"/>
    <w:tmpl w:val="A4447836"/>
    <w:lvl w:ilvl="0" w:tplc="91EA21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363D"/>
    <w:multiLevelType w:val="hybridMultilevel"/>
    <w:tmpl w:val="EC4EF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7A97"/>
    <w:multiLevelType w:val="hybridMultilevel"/>
    <w:tmpl w:val="64988876"/>
    <w:lvl w:ilvl="0" w:tplc="7AC2EA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A4A4B"/>
    <w:multiLevelType w:val="hybridMultilevel"/>
    <w:tmpl w:val="DE0AD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B304EE"/>
    <w:multiLevelType w:val="hybridMultilevel"/>
    <w:tmpl w:val="B13E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C2C47"/>
    <w:multiLevelType w:val="hybridMultilevel"/>
    <w:tmpl w:val="E316737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CC2F33"/>
    <w:multiLevelType w:val="hybridMultilevel"/>
    <w:tmpl w:val="4E30FA72"/>
    <w:lvl w:ilvl="0" w:tplc="7AC2EA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82098">
    <w:abstractNumId w:val="1"/>
  </w:num>
  <w:num w:numId="2" w16cid:durableId="589703099">
    <w:abstractNumId w:val="7"/>
  </w:num>
  <w:num w:numId="3" w16cid:durableId="280582">
    <w:abstractNumId w:val="3"/>
  </w:num>
  <w:num w:numId="4" w16cid:durableId="443312135">
    <w:abstractNumId w:val="5"/>
  </w:num>
  <w:num w:numId="5" w16cid:durableId="1122260549">
    <w:abstractNumId w:val="4"/>
  </w:num>
  <w:num w:numId="6" w16cid:durableId="105079643">
    <w:abstractNumId w:val="6"/>
  </w:num>
  <w:num w:numId="7" w16cid:durableId="1043409390">
    <w:abstractNumId w:val="2"/>
  </w:num>
  <w:num w:numId="8" w16cid:durableId="190652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1F"/>
    <w:rsid w:val="000000F2"/>
    <w:rsid w:val="000010ED"/>
    <w:rsid w:val="00002357"/>
    <w:rsid w:val="000026BA"/>
    <w:rsid w:val="000035B3"/>
    <w:rsid w:val="00005364"/>
    <w:rsid w:val="00010651"/>
    <w:rsid w:val="00010F5F"/>
    <w:rsid w:val="00011588"/>
    <w:rsid w:val="00012D64"/>
    <w:rsid w:val="00020754"/>
    <w:rsid w:val="00022776"/>
    <w:rsid w:val="00024BCD"/>
    <w:rsid w:val="00026744"/>
    <w:rsid w:val="00027531"/>
    <w:rsid w:val="000276F1"/>
    <w:rsid w:val="000278AC"/>
    <w:rsid w:val="00031080"/>
    <w:rsid w:val="0003771C"/>
    <w:rsid w:val="000377C4"/>
    <w:rsid w:val="0004287C"/>
    <w:rsid w:val="00044829"/>
    <w:rsid w:val="00053B1A"/>
    <w:rsid w:val="000542C0"/>
    <w:rsid w:val="0006258C"/>
    <w:rsid w:val="00065878"/>
    <w:rsid w:val="00065DA2"/>
    <w:rsid w:val="000666B4"/>
    <w:rsid w:val="00072AB7"/>
    <w:rsid w:val="00074616"/>
    <w:rsid w:val="00075D69"/>
    <w:rsid w:val="00076E33"/>
    <w:rsid w:val="000801A4"/>
    <w:rsid w:val="000801B7"/>
    <w:rsid w:val="000823B6"/>
    <w:rsid w:val="00083EE5"/>
    <w:rsid w:val="00084EE9"/>
    <w:rsid w:val="00086917"/>
    <w:rsid w:val="00090C7E"/>
    <w:rsid w:val="00090F15"/>
    <w:rsid w:val="000923C4"/>
    <w:rsid w:val="00096166"/>
    <w:rsid w:val="00097CC4"/>
    <w:rsid w:val="000A1F60"/>
    <w:rsid w:val="000A5119"/>
    <w:rsid w:val="000A601B"/>
    <w:rsid w:val="000A6CCD"/>
    <w:rsid w:val="000B0A01"/>
    <w:rsid w:val="000B60C9"/>
    <w:rsid w:val="000C4470"/>
    <w:rsid w:val="000C4B90"/>
    <w:rsid w:val="000E0CA0"/>
    <w:rsid w:val="000E4863"/>
    <w:rsid w:val="000E5EC3"/>
    <w:rsid w:val="000E6C74"/>
    <w:rsid w:val="000F1563"/>
    <w:rsid w:val="000F28F6"/>
    <w:rsid w:val="000F4D16"/>
    <w:rsid w:val="000F5993"/>
    <w:rsid w:val="000F6AD8"/>
    <w:rsid w:val="0010139A"/>
    <w:rsid w:val="001027DE"/>
    <w:rsid w:val="001042A5"/>
    <w:rsid w:val="00110693"/>
    <w:rsid w:val="00113F67"/>
    <w:rsid w:val="001155E8"/>
    <w:rsid w:val="00120D98"/>
    <w:rsid w:val="001219B7"/>
    <w:rsid w:val="00121A39"/>
    <w:rsid w:val="00125A6D"/>
    <w:rsid w:val="001262B5"/>
    <w:rsid w:val="00127D96"/>
    <w:rsid w:val="00132C8A"/>
    <w:rsid w:val="001346D2"/>
    <w:rsid w:val="00134A8A"/>
    <w:rsid w:val="001411F2"/>
    <w:rsid w:val="00141D22"/>
    <w:rsid w:val="00142E35"/>
    <w:rsid w:val="0014459D"/>
    <w:rsid w:val="00144C6A"/>
    <w:rsid w:val="00144DE5"/>
    <w:rsid w:val="001460D1"/>
    <w:rsid w:val="00146417"/>
    <w:rsid w:val="001464D3"/>
    <w:rsid w:val="001521F0"/>
    <w:rsid w:val="00153E96"/>
    <w:rsid w:val="001545C2"/>
    <w:rsid w:val="00156D82"/>
    <w:rsid w:val="00164935"/>
    <w:rsid w:val="00164DF0"/>
    <w:rsid w:val="00173ACD"/>
    <w:rsid w:val="00174E4E"/>
    <w:rsid w:val="00177515"/>
    <w:rsid w:val="00183853"/>
    <w:rsid w:val="00185D63"/>
    <w:rsid w:val="0018763B"/>
    <w:rsid w:val="001941B2"/>
    <w:rsid w:val="001B09B9"/>
    <w:rsid w:val="001B0A7F"/>
    <w:rsid w:val="001B1F26"/>
    <w:rsid w:val="001C5BAC"/>
    <w:rsid w:val="001C66A3"/>
    <w:rsid w:val="001C68EF"/>
    <w:rsid w:val="001D0E7D"/>
    <w:rsid w:val="001D159C"/>
    <w:rsid w:val="001D2611"/>
    <w:rsid w:val="001D2A10"/>
    <w:rsid w:val="001D4D8F"/>
    <w:rsid w:val="001D507C"/>
    <w:rsid w:val="001E0C7C"/>
    <w:rsid w:val="001E0DE5"/>
    <w:rsid w:val="001E2D25"/>
    <w:rsid w:val="001E3F15"/>
    <w:rsid w:val="001F383D"/>
    <w:rsid w:val="001F4C3A"/>
    <w:rsid w:val="002015A0"/>
    <w:rsid w:val="0020168E"/>
    <w:rsid w:val="00201C57"/>
    <w:rsid w:val="002049B6"/>
    <w:rsid w:val="00206863"/>
    <w:rsid w:val="00206A29"/>
    <w:rsid w:val="00210322"/>
    <w:rsid w:val="002138DC"/>
    <w:rsid w:val="00215377"/>
    <w:rsid w:val="00215B5B"/>
    <w:rsid w:val="0021649A"/>
    <w:rsid w:val="002169E7"/>
    <w:rsid w:val="002203F4"/>
    <w:rsid w:val="002239D1"/>
    <w:rsid w:val="00224935"/>
    <w:rsid w:val="00230D69"/>
    <w:rsid w:val="002314E2"/>
    <w:rsid w:val="00231795"/>
    <w:rsid w:val="00232F92"/>
    <w:rsid w:val="002340FF"/>
    <w:rsid w:val="00240774"/>
    <w:rsid w:val="00241972"/>
    <w:rsid w:val="00244E1F"/>
    <w:rsid w:val="00247C2D"/>
    <w:rsid w:val="00257216"/>
    <w:rsid w:val="00257E7E"/>
    <w:rsid w:val="00260287"/>
    <w:rsid w:val="00260E78"/>
    <w:rsid w:val="00261508"/>
    <w:rsid w:val="0026203D"/>
    <w:rsid w:val="00267A92"/>
    <w:rsid w:val="00270D9C"/>
    <w:rsid w:val="0027462F"/>
    <w:rsid w:val="0027486E"/>
    <w:rsid w:val="002773CE"/>
    <w:rsid w:val="00280B5F"/>
    <w:rsid w:val="002857CC"/>
    <w:rsid w:val="002879EC"/>
    <w:rsid w:val="002908E5"/>
    <w:rsid w:val="00290F94"/>
    <w:rsid w:val="00294393"/>
    <w:rsid w:val="002947FC"/>
    <w:rsid w:val="0029580B"/>
    <w:rsid w:val="002A0436"/>
    <w:rsid w:val="002A0F8A"/>
    <w:rsid w:val="002A2A64"/>
    <w:rsid w:val="002A4E61"/>
    <w:rsid w:val="002A6D97"/>
    <w:rsid w:val="002C1AB9"/>
    <w:rsid w:val="002C3D7F"/>
    <w:rsid w:val="002C690F"/>
    <w:rsid w:val="002D4F38"/>
    <w:rsid w:val="002D79A3"/>
    <w:rsid w:val="002E3A74"/>
    <w:rsid w:val="002E5ADB"/>
    <w:rsid w:val="002F46F9"/>
    <w:rsid w:val="002F4802"/>
    <w:rsid w:val="002F484A"/>
    <w:rsid w:val="002F4D9B"/>
    <w:rsid w:val="002F7190"/>
    <w:rsid w:val="0030058B"/>
    <w:rsid w:val="0030135D"/>
    <w:rsid w:val="003017A1"/>
    <w:rsid w:val="00302B60"/>
    <w:rsid w:val="00305AD8"/>
    <w:rsid w:val="00305BBA"/>
    <w:rsid w:val="003079A6"/>
    <w:rsid w:val="00310044"/>
    <w:rsid w:val="00311E1E"/>
    <w:rsid w:val="003206CD"/>
    <w:rsid w:val="0032658B"/>
    <w:rsid w:val="00327FC6"/>
    <w:rsid w:val="00332ECA"/>
    <w:rsid w:val="00335BE5"/>
    <w:rsid w:val="0034508F"/>
    <w:rsid w:val="00346D5C"/>
    <w:rsid w:val="00347B24"/>
    <w:rsid w:val="00350182"/>
    <w:rsid w:val="00354070"/>
    <w:rsid w:val="003543D9"/>
    <w:rsid w:val="00354F68"/>
    <w:rsid w:val="00356C62"/>
    <w:rsid w:val="00364202"/>
    <w:rsid w:val="00375BDB"/>
    <w:rsid w:val="00376EAB"/>
    <w:rsid w:val="003776E4"/>
    <w:rsid w:val="00383013"/>
    <w:rsid w:val="00384422"/>
    <w:rsid w:val="00384A25"/>
    <w:rsid w:val="00386F9E"/>
    <w:rsid w:val="00394E26"/>
    <w:rsid w:val="00395374"/>
    <w:rsid w:val="0039782B"/>
    <w:rsid w:val="003A262E"/>
    <w:rsid w:val="003A3D5E"/>
    <w:rsid w:val="003A696A"/>
    <w:rsid w:val="003A787E"/>
    <w:rsid w:val="003B2ADB"/>
    <w:rsid w:val="003B5BCC"/>
    <w:rsid w:val="003C2115"/>
    <w:rsid w:val="003C366C"/>
    <w:rsid w:val="003D2B84"/>
    <w:rsid w:val="003D3710"/>
    <w:rsid w:val="003D6A66"/>
    <w:rsid w:val="003E2C24"/>
    <w:rsid w:val="003E4E1D"/>
    <w:rsid w:val="003E70AD"/>
    <w:rsid w:val="003F24A5"/>
    <w:rsid w:val="003F2968"/>
    <w:rsid w:val="003F3B22"/>
    <w:rsid w:val="003F4946"/>
    <w:rsid w:val="003F75B5"/>
    <w:rsid w:val="004032E4"/>
    <w:rsid w:val="00406A97"/>
    <w:rsid w:val="00410196"/>
    <w:rsid w:val="00411624"/>
    <w:rsid w:val="00416AB3"/>
    <w:rsid w:val="004176C2"/>
    <w:rsid w:val="00425290"/>
    <w:rsid w:val="004279AC"/>
    <w:rsid w:val="00431287"/>
    <w:rsid w:val="00431292"/>
    <w:rsid w:val="00431E59"/>
    <w:rsid w:val="004338AB"/>
    <w:rsid w:val="00435574"/>
    <w:rsid w:val="004359D9"/>
    <w:rsid w:val="00436E57"/>
    <w:rsid w:val="004405EE"/>
    <w:rsid w:val="0044400A"/>
    <w:rsid w:val="00445306"/>
    <w:rsid w:val="00447E9B"/>
    <w:rsid w:val="0045167B"/>
    <w:rsid w:val="00452991"/>
    <w:rsid w:val="00454DEB"/>
    <w:rsid w:val="00456273"/>
    <w:rsid w:val="00462D2D"/>
    <w:rsid w:val="0046366A"/>
    <w:rsid w:val="004703E3"/>
    <w:rsid w:val="00473461"/>
    <w:rsid w:val="00473C13"/>
    <w:rsid w:val="004745F2"/>
    <w:rsid w:val="0047601D"/>
    <w:rsid w:val="00477BFC"/>
    <w:rsid w:val="00480CC1"/>
    <w:rsid w:val="00481582"/>
    <w:rsid w:val="0048339D"/>
    <w:rsid w:val="00484CEA"/>
    <w:rsid w:val="00487357"/>
    <w:rsid w:val="004875CF"/>
    <w:rsid w:val="004911AF"/>
    <w:rsid w:val="0049283A"/>
    <w:rsid w:val="004945F2"/>
    <w:rsid w:val="00494A35"/>
    <w:rsid w:val="00495250"/>
    <w:rsid w:val="004A1B79"/>
    <w:rsid w:val="004A2DDC"/>
    <w:rsid w:val="004B07E0"/>
    <w:rsid w:val="004B2AEA"/>
    <w:rsid w:val="004C10C2"/>
    <w:rsid w:val="004C12D9"/>
    <w:rsid w:val="004C1975"/>
    <w:rsid w:val="004C5163"/>
    <w:rsid w:val="004C6367"/>
    <w:rsid w:val="004C6CE0"/>
    <w:rsid w:val="004C6EAA"/>
    <w:rsid w:val="004C7C5C"/>
    <w:rsid w:val="004D4F5E"/>
    <w:rsid w:val="004D5F90"/>
    <w:rsid w:val="004D6E4C"/>
    <w:rsid w:val="004E1317"/>
    <w:rsid w:val="004E1C77"/>
    <w:rsid w:val="004E2396"/>
    <w:rsid w:val="004F2711"/>
    <w:rsid w:val="004F3E86"/>
    <w:rsid w:val="004F7BDB"/>
    <w:rsid w:val="00501B87"/>
    <w:rsid w:val="00507B57"/>
    <w:rsid w:val="00510151"/>
    <w:rsid w:val="0051223D"/>
    <w:rsid w:val="005178DF"/>
    <w:rsid w:val="00527002"/>
    <w:rsid w:val="00527B61"/>
    <w:rsid w:val="00536C80"/>
    <w:rsid w:val="00545347"/>
    <w:rsid w:val="00547092"/>
    <w:rsid w:val="00547771"/>
    <w:rsid w:val="00553EA9"/>
    <w:rsid w:val="00554512"/>
    <w:rsid w:val="00556700"/>
    <w:rsid w:val="00561220"/>
    <w:rsid w:val="00563F52"/>
    <w:rsid w:val="005654AC"/>
    <w:rsid w:val="00567D6E"/>
    <w:rsid w:val="00580D16"/>
    <w:rsid w:val="00581013"/>
    <w:rsid w:val="0058124C"/>
    <w:rsid w:val="00581BD0"/>
    <w:rsid w:val="00583A20"/>
    <w:rsid w:val="00584EE9"/>
    <w:rsid w:val="005865B5"/>
    <w:rsid w:val="0059160E"/>
    <w:rsid w:val="00591E56"/>
    <w:rsid w:val="00595FAF"/>
    <w:rsid w:val="005A02CA"/>
    <w:rsid w:val="005A3FA0"/>
    <w:rsid w:val="005B048B"/>
    <w:rsid w:val="005B2CB2"/>
    <w:rsid w:val="005B6F09"/>
    <w:rsid w:val="005B7AB3"/>
    <w:rsid w:val="005B7B74"/>
    <w:rsid w:val="005C296A"/>
    <w:rsid w:val="005C6585"/>
    <w:rsid w:val="005C7123"/>
    <w:rsid w:val="005C74C3"/>
    <w:rsid w:val="005C77C2"/>
    <w:rsid w:val="005C7C65"/>
    <w:rsid w:val="005D5D41"/>
    <w:rsid w:val="005E3E33"/>
    <w:rsid w:val="005E499A"/>
    <w:rsid w:val="005E5596"/>
    <w:rsid w:val="005F14EC"/>
    <w:rsid w:val="005F3C4C"/>
    <w:rsid w:val="005F4A19"/>
    <w:rsid w:val="005F6D4D"/>
    <w:rsid w:val="0060284D"/>
    <w:rsid w:val="00606D3B"/>
    <w:rsid w:val="006071CE"/>
    <w:rsid w:val="00607647"/>
    <w:rsid w:val="006077F9"/>
    <w:rsid w:val="00610C65"/>
    <w:rsid w:val="0061303E"/>
    <w:rsid w:val="0061357D"/>
    <w:rsid w:val="006141C9"/>
    <w:rsid w:val="00614814"/>
    <w:rsid w:val="006163B6"/>
    <w:rsid w:val="0061726E"/>
    <w:rsid w:val="006227C6"/>
    <w:rsid w:val="00624EBB"/>
    <w:rsid w:val="006256B0"/>
    <w:rsid w:val="006304A9"/>
    <w:rsid w:val="00635205"/>
    <w:rsid w:val="00640975"/>
    <w:rsid w:val="0064306D"/>
    <w:rsid w:val="00644EEF"/>
    <w:rsid w:val="00652FD8"/>
    <w:rsid w:val="0065354C"/>
    <w:rsid w:val="00655575"/>
    <w:rsid w:val="00660E94"/>
    <w:rsid w:val="00663CDD"/>
    <w:rsid w:val="0066793E"/>
    <w:rsid w:val="006704DB"/>
    <w:rsid w:val="00671077"/>
    <w:rsid w:val="006753EB"/>
    <w:rsid w:val="00680CD5"/>
    <w:rsid w:val="00681537"/>
    <w:rsid w:val="00683D54"/>
    <w:rsid w:val="00685343"/>
    <w:rsid w:val="0069087A"/>
    <w:rsid w:val="00695F6E"/>
    <w:rsid w:val="0069789D"/>
    <w:rsid w:val="006A4885"/>
    <w:rsid w:val="006A7247"/>
    <w:rsid w:val="006A7C84"/>
    <w:rsid w:val="006B0516"/>
    <w:rsid w:val="006B4089"/>
    <w:rsid w:val="006B764A"/>
    <w:rsid w:val="006C1FBC"/>
    <w:rsid w:val="006C3F7C"/>
    <w:rsid w:val="006C4F31"/>
    <w:rsid w:val="006D0E56"/>
    <w:rsid w:val="006D1EEB"/>
    <w:rsid w:val="006D3B61"/>
    <w:rsid w:val="006E066A"/>
    <w:rsid w:val="006E102B"/>
    <w:rsid w:val="006E2DC6"/>
    <w:rsid w:val="006E3C61"/>
    <w:rsid w:val="006F4ACE"/>
    <w:rsid w:val="006F4DC9"/>
    <w:rsid w:val="00706E05"/>
    <w:rsid w:val="007075E5"/>
    <w:rsid w:val="0072105D"/>
    <w:rsid w:val="007238C0"/>
    <w:rsid w:val="00725B2A"/>
    <w:rsid w:val="00727AEC"/>
    <w:rsid w:val="00732DFB"/>
    <w:rsid w:val="00733992"/>
    <w:rsid w:val="00735CA7"/>
    <w:rsid w:val="00747378"/>
    <w:rsid w:val="00747FA0"/>
    <w:rsid w:val="007527D7"/>
    <w:rsid w:val="0075298C"/>
    <w:rsid w:val="007544F4"/>
    <w:rsid w:val="00757308"/>
    <w:rsid w:val="00762E79"/>
    <w:rsid w:val="00777D3D"/>
    <w:rsid w:val="00781D13"/>
    <w:rsid w:val="00784AF2"/>
    <w:rsid w:val="00790595"/>
    <w:rsid w:val="00793B72"/>
    <w:rsid w:val="0079475C"/>
    <w:rsid w:val="00797A49"/>
    <w:rsid w:val="00797B00"/>
    <w:rsid w:val="007A04F4"/>
    <w:rsid w:val="007A097B"/>
    <w:rsid w:val="007A137A"/>
    <w:rsid w:val="007A200C"/>
    <w:rsid w:val="007A2F1E"/>
    <w:rsid w:val="007B0FBA"/>
    <w:rsid w:val="007B2424"/>
    <w:rsid w:val="007B2664"/>
    <w:rsid w:val="007B5C28"/>
    <w:rsid w:val="007B7650"/>
    <w:rsid w:val="007D1129"/>
    <w:rsid w:val="007D1293"/>
    <w:rsid w:val="007D335B"/>
    <w:rsid w:val="007D391D"/>
    <w:rsid w:val="007D56CD"/>
    <w:rsid w:val="007D62EB"/>
    <w:rsid w:val="007E2349"/>
    <w:rsid w:val="007E43B6"/>
    <w:rsid w:val="007F70B7"/>
    <w:rsid w:val="00803114"/>
    <w:rsid w:val="00804E41"/>
    <w:rsid w:val="00806897"/>
    <w:rsid w:val="008109B4"/>
    <w:rsid w:val="00810EB3"/>
    <w:rsid w:val="0081183E"/>
    <w:rsid w:val="00816277"/>
    <w:rsid w:val="00821BC5"/>
    <w:rsid w:val="00822067"/>
    <w:rsid w:val="00822D3E"/>
    <w:rsid w:val="00824D26"/>
    <w:rsid w:val="00827C58"/>
    <w:rsid w:val="0083636D"/>
    <w:rsid w:val="00836A17"/>
    <w:rsid w:val="0084586A"/>
    <w:rsid w:val="008509A5"/>
    <w:rsid w:val="00850A78"/>
    <w:rsid w:val="00851CE5"/>
    <w:rsid w:val="00860B5B"/>
    <w:rsid w:val="00863B3E"/>
    <w:rsid w:val="008665BB"/>
    <w:rsid w:val="00870C8A"/>
    <w:rsid w:val="00870DFE"/>
    <w:rsid w:val="008769DD"/>
    <w:rsid w:val="008823BB"/>
    <w:rsid w:val="00886B5F"/>
    <w:rsid w:val="00891862"/>
    <w:rsid w:val="008924A7"/>
    <w:rsid w:val="008964DE"/>
    <w:rsid w:val="008A17CE"/>
    <w:rsid w:val="008A2402"/>
    <w:rsid w:val="008A24BA"/>
    <w:rsid w:val="008A68C7"/>
    <w:rsid w:val="008A7846"/>
    <w:rsid w:val="008A7951"/>
    <w:rsid w:val="008B2016"/>
    <w:rsid w:val="008B38A6"/>
    <w:rsid w:val="008B4049"/>
    <w:rsid w:val="008B4AC9"/>
    <w:rsid w:val="008C4F16"/>
    <w:rsid w:val="008D0727"/>
    <w:rsid w:val="008D3EF5"/>
    <w:rsid w:val="008D4212"/>
    <w:rsid w:val="008E212D"/>
    <w:rsid w:val="008E486A"/>
    <w:rsid w:val="008F0B3B"/>
    <w:rsid w:val="008F18BA"/>
    <w:rsid w:val="008F4788"/>
    <w:rsid w:val="0090165D"/>
    <w:rsid w:val="009022D9"/>
    <w:rsid w:val="00904A67"/>
    <w:rsid w:val="0090706E"/>
    <w:rsid w:val="00913051"/>
    <w:rsid w:val="0091329C"/>
    <w:rsid w:val="00913B84"/>
    <w:rsid w:val="00914B45"/>
    <w:rsid w:val="00915693"/>
    <w:rsid w:val="00921364"/>
    <w:rsid w:val="00923420"/>
    <w:rsid w:val="00925C03"/>
    <w:rsid w:val="009318E4"/>
    <w:rsid w:val="0093440E"/>
    <w:rsid w:val="009350FA"/>
    <w:rsid w:val="00936CAB"/>
    <w:rsid w:val="009424E2"/>
    <w:rsid w:val="00943836"/>
    <w:rsid w:val="009519AF"/>
    <w:rsid w:val="00953369"/>
    <w:rsid w:val="00954AAA"/>
    <w:rsid w:val="00954EC5"/>
    <w:rsid w:val="00957664"/>
    <w:rsid w:val="00960329"/>
    <w:rsid w:val="009617FC"/>
    <w:rsid w:val="0096488D"/>
    <w:rsid w:val="00974536"/>
    <w:rsid w:val="00975C11"/>
    <w:rsid w:val="00976C97"/>
    <w:rsid w:val="009836B6"/>
    <w:rsid w:val="009872B1"/>
    <w:rsid w:val="00991DDC"/>
    <w:rsid w:val="00992F36"/>
    <w:rsid w:val="00995120"/>
    <w:rsid w:val="009A3461"/>
    <w:rsid w:val="009A70CD"/>
    <w:rsid w:val="009B357E"/>
    <w:rsid w:val="009B67D5"/>
    <w:rsid w:val="009D1417"/>
    <w:rsid w:val="009D2E3F"/>
    <w:rsid w:val="009D331F"/>
    <w:rsid w:val="009D636E"/>
    <w:rsid w:val="009E3B64"/>
    <w:rsid w:val="009E49B8"/>
    <w:rsid w:val="009F2191"/>
    <w:rsid w:val="009F6B38"/>
    <w:rsid w:val="00A022AB"/>
    <w:rsid w:val="00A03857"/>
    <w:rsid w:val="00A05B1A"/>
    <w:rsid w:val="00A05DED"/>
    <w:rsid w:val="00A06D83"/>
    <w:rsid w:val="00A1044F"/>
    <w:rsid w:val="00A1385F"/>
    <w:rsid w:val="00A20C37"/>
    <w:rsid w:val="00A21C20"/>
    <w:rsid w:val="00A22DA1"/>
    <w:rsid w:val="00A23220"/>
    <w:rsid w:val="00A25A76"/>
    <w:rsid w:val="00A322C2"/>
    <w:rsid w:val="00A35902"/>
    <w:rsid w:val="00A35C77"/>
    <w:rsid w:val="00A4498F"/>
    <w:rsid w:val="00A450A4"/>
    <w:rsid w:val="00A45632"/>
    <w:rsid w:val="00A4579E"/>
    <w:rsid w:val="00A471A6"/>
    <w:rsid w:val="00A50B32"/>
    <w:rsid w:val="00A52999"/>
    <w:rsid w:val="00A562BB"/>
    <w:rsid w:val="00A60FA4"/>
    <w:rsid w:val="00A616DE"/>
    <w:rsid w:val="00A66DDB"/>
    <w:rsid w:val="00A67624"/>
    <w:rsid w:val="00A731B5"/>
    <w:rsid w:val="00A735A8"/>
    <w:rsid w:val="00A74179"/>
    <w:rsid w:val="00A75480"/>
    <w:rsid w:val="00A769EE"/>
    <w:rsid w:val="00A80AFC"/>
    <w:rsid w:val="00A82C29"/>
    <w:rsid w:val="00A839E4"/>
    <w:rsid w:val="00A85603"/>
    <w:rsid w:val="00A857F3"/>
    <w:rsid w:val="00A875FD"/>
    <w:rsid w:val="00A92015"/>
    <w:rsid w:val="00A93EBC"/>
    <w:rsid w:val="00A948AE"/>
    <w:rsid w:val="00A954C3"/>
    <w:rsid w:val="00A97BC9"/>
    <w:rsid w:val="00AA082A"/>
    <w:rsid w:val="00AA0A2F"/>
    <w:rsid w:val="00AA0DFC"/>
    <w:rsid w:val="00AA161F"/>
    <w:rsid w:val="00AB0CDC"/>
    <w:rsid w:val="00AB1DE5"/>
    <w:rsid w:val="00AB3A0B"/>
    <w:rsid w:val="00AC0251"/>
    <w:rsid w:val="00AC2D57"/>
    <w:rsid w:val="00AC5D49"/>
    <w:rsid w:val="00AD02CB"/>
    <w:rsid w:val="00AD1F9D"/>
    <w:rsid w:val="00AD7BBA"/>
    <w:rsid w:val="00AE2E1F"/>
    <w:rsid w:val="00AE617E"/>
    <w:rsid w:val="00AE6CCA"/>
    <w:rsid w:val="00AE7C97"/>
    <w:rsid w:val="00AF162E"/>
    <w:rsid w:val="00AF2982"/>
    <w:rsid w:val="00AF3766"/>
    <w:rsid w:val="00AF5B72"/>
    <w:rsid w:val="00B01E00"/>
    <w:rsid w:val="00B109F7"/>
    <w:rsid w:val="00B1106C"/>
    <w:rsid w:val="00B14167"/>
    <w:rsid w:val="00B14FF2"/>
    <w:rsid w:val="00B1680E"/>
    <w:rsid w:val="00B213B2"/>
    <w:rsid w:val="00B34153"/>
    <w:rsid w:val="00B359DC"/>
    <w:rsid w:val="00B35BFF"/>
    <w:rsid w:val="00B36F22"/>
    <w:rsid w:val="00B377FE"/>
    <w:rsid w:val="00B37B11"/>
    <w:rsid w:val="00B402D3"/>
    <w:rsid w:val="00B45400"/>
    <w:rsid w:val="00B47591"/>
    <w:rsid w:val="00B47DDD"/>
    <w:rsid w:val="00B507CF"/>
    <w:rsid w:val="00B53DC3"/>
    <w:rsid w:val="00B57D9A"/>
    <w:rsid w:val="00B6195F"/>
    <w:rsid w:val="00B632F9"/>
    <w:rsid w:val="00B715F9"/>
    <w:rsid w:val="00B817F2"/>
    <w:rsid w:val="00B81BF6"/>
    <w:rsid w:val="00B82162"/>
    <w:rsid w:val="00B83AA2"/>
    <w:rsid w:val="00B840DC"/>
    <w:rsid w:val="00B855DE"/>
    <w:rsid w:val="00B85836"/>
    <w:rsid w:val="00B86555"/>
    <w:rsid w:val="00B919A1"/>
    <w:rsid w:val="00B92009"/>
    <w:rsid w:val="00BA2566"/>
    <w:rsid w:val="00BA3859"/>
    <w:rsid w:val="00BA3872"/>
    <w:rsid w:val="00BA4970"/>
    <w:rsid w:val="00BA58B8"/>
    <w:rsid w:val="00BB2564"/>
    <w:rsid w:val="00BB3D62"/>
    <w:rsid w:val="00BB52EC"/>
    <w:rsid w:val="00BB60D9"/>
    <w:rsid w:val="00BB79A1"/>
    <w:rsid w:val="00BB7DAB"/>
    <w:rsid w:val="00BC1C1F"/>
    <w:rsid w:val="00BC1EFD"/>
    <w:rsid w:val="00BC3E1E"/>
    <w:rsid w:val="00BC4793"/>
    <w:rsid w:val="00BD02A5"/>
    <w:rsid w:val="00BD190D"/>
    <w:rsid w:val="00BD6EFE"/>
    <w:rsid w:val="00BE0143"/>
    <w:rsid w:val="00BE039D"/>
    <w:rsid w:val="00BE0CE6"/>
    <w:rsid w:val="00BE1AFA"/>
    <w:rsid w:val="00BE323F"/>
    <w:rsid w:val="00BF461B"/>
    <w:rsid w:val="00BF674B"/>
    <w:rsid w:val="00BF77FD"/>
    <w:rsid w:val="00BF7A4E"/>
    <w:rsid w:val="00C020AF"/>
    <w:rsid w:val="00C0290F"/>
    <w:rsid w:val="00C03A9C"/>
    <w:rsid w:val="00C03D28"/>
    <w:rsid w:val="00C04A3E"/>
    <w:rsid w:val="00C07309"/>
    <w:rsid w:val="00C1195D"/>
    <w:rsid w:val="00C11DFA"/>
    <w:rsid w:val="00C14421"/>
    <w:rsid w:val="00C16DC8"/>
    <w:rsid w:val="00C2169B"/>
    <w:rsid w:val="00C22680"/>
    <w:rsid w:val="00C2683C"/>
    <w:rsid w:val="00C34811"/>
    <w:rsid w:val="00C36A62"/>
    <w:rsid w:val="00C3789F"/>
    <w:rsid w:val="00C41225"/>
    <w:rsid w:val="00C43E0A"/>
    <w:rsid w:val="00C45016"/>
    <w:rsid w:val="00C50653"/>
    <w:rsid w:val="00C53AA4"/>
    <w:rsid w:val="00C54C30"/>
    <w:rsid w:val="00C56717"/>
    <w:rsid w:val="00C57207"/>
    <w:rsid w:val="00C61719"/>
    <w:rsid w:val="00C6199C"/>
    <w:rsid w:val="00C6442F"/>
    <w:rsid w:val="00C66B08"/>
    <w:rsid w:val="00C722BE"/>
    <w:rsid w:val="00C722BF"/>
    <w:rsid w:val="00C73849"/>
    <w:rsid w:val="00C7399A"/>
    <w:rsid w:val="00C74621"/>
    <w:rsid w:val="00C756A6"/>
    <w:rsid w:val="00C81558"/>
    <w:rsid w:val="00C9119F"/>
    <w:rsid w:val="00C9543D"/>
    <w:rsid w:val="00C95A76"/>
    <w:rsid w:val="00C97A33"/>
    <w:rsid w:val="00CA41F2"/>
    <w:rsid w:val="00CA5659"/>
    <w:rsid w:val="00CA7F61"/>
    <w:rsid w:val="00CB1B76"/>
    <w:rsid w:val="00CB1C92"/>
    <w:rsid w:val="00CB1FBE"/>
    <w:rsid w:val="00CB3F16"/>
    <w:rsid w:val="00CB7DBB"/>
    <w:rsid w:val="00CC116C"/>
    <w:rsid w:val="00CC195A"/>
    <w:rsid w:val="00CC24E8"/>
    <w:rsid w:val="00CD3551"/>
    <w:rsid w:val="00CD361F"/>
    <w:rsid w:val="00CD44B1"/>
    <w:rsid w:val="00CD6B64"/>
    <w:rsid w:val="00CE1BAB"/>
    <w:rsid w:val="00CF1FA6"/>
    <w:rsid w:val="00CF6106"/>
    <w:rsid w:val="00CF6DD2"/>
    <w:rsid w:val="00D0022B"/>
    <w:rsid w:val="00D02DDD"/>
    <w:rsid w:val="00D0317F"/>
    <w:rsid w:val="00D04C43"/>
    <w:rsid w:val="00D054A3"/>
    <w:rsid w:val="00D068DB"/>
    <w:rsid w:val="00D2390B"/>
    <w:rsid w:val="00D23CD4"/>
    <w:rsid w:val="00D23CEE"/>
    <w:rsid w:val="00D2405D"/>
    <w:rsid w:val="00D24B73"/>
    <w:rsid w:val="00D26C63"/>
    <w:rsid w:val="00D27756"/>
    <w:rsid w:val="00D3053C"/>
    <w:rsid w:val="00D34C9A"/>
    <w:rsid w:val="00D400E7"/>
    <w:rsid w:val="00D41416"/>
    <w:rsid w:val="00D43078"/>
    <w:rsid w:val="00D43CFF"/>
    <w:rsid w:val="00D448BA"/>
    <w:rsid w:val="00D458E5"/>
    <w:rsid w:val="00D466B0"/>
    <w:rsid w:val="00D468B3"/>
    <w:rsid w:val="00D519FA"/>
    <w:rsid w:val="00D57AFC"/>
    <w:rsid w:val="00D60467"/>
    <w:rsid w:val="00D60B55"/>
    <w:rsid w:val="00D63C3E"/>
    <w:rsid w:val="00D64661"/>
    <w:rsid w:val="00D67528"/>
    <w:rsid w:val="00D70363"/>
    <w:rsid w:val="00D70E3F"/>
    <w:rsid w:val="00D71AF8"/>
    <w:rsid w:val="00D72045"/>
    <w:rsid w:val="00D72745"/>
    <w:rsid w:val="00D7605F"/>
    <w:rsid w:val="00D7792E"/>
    <w:rsid w:val="00D817BA"/>
    <w:rsid w:val="00D82738"/>
    <w:rsid w:val="00D834BE"/>
    <w:rsid w:val="00D8455B"/>
    <w:rsid w:val="00D916D7"/>
    <w:rsid w:val="00D959BB"/>
    <w:rsid w:val="00DA0355"/>
    <w:rsid w:val="00DA039B"/>
    <w:rsid w:val="00DA093B"/>
    <w:rsid w:val="00DA1B6F"/>
    <w:rsid w:val="00DA225F"/>
    <w:rsid w:val="00DA35BC"/>
    <w:rsid w:val="00DA3F6A"/>
    <w:rsid w:val="00DB2036"/>
    <w:rsid w:val="00DB33B4"/>
    <w:rsid w:val="00DB67C2"/>
    <w:rsid w:val="00DB7DCC"/>
    <w:rsid w:val="00DC0C2D"/>
    <w:rsid w:val="00DC5F19"/>
    <w:rsid w:val="00DC7FFE"/>
    <w:rsid w:val="00DD1D89"/>
    <w:rsid w:val="00DD4401"/>
    <w:rsid w:val="00DD51B8"/>
    <w:rsid w:val="00DE1FF6"/>
    <w:rsid w:val="00DE3111"/>
    <w:rsid w:val="00DE380E"/>
    <w:rsid w:val="00DE5ED8"/>
    <w:rsid w:val="00DF1933"/>
    <w:rsid w:val="00DF34C7"/>
    <w:rsid w:val="00DF3ED9"/>
    <w:rsid w:val="00DF40A1"/>
    <w:rsid w:val="00DF4273"/>
    <w:rsid w:val="00DF484C"/>
    <w:rsid w:val="00DF7998"/>
    <w:rsid w:val="00E04054"/>
    <w:rsid w:val="00E0489D"/>
    <w:rsid w:val="00E0709D"/>
    <w:rsid w:val="00E109AA"/>
    <w:rsid w:val="00E155EF"/>
    <w:rsid w:val="00E16362"/>
    <w:rsid w:val="00E2071B"/>
    <w:rsid w:val="00E22421"/>
    <w:rsid w:val="00E25AAE"/>
    <w:rsid w:val="00E31214"/>
    <w:rsid w:val="00E31E0D"/>
    <w:rsid w:val="00E35187"/>
    <w:rsid w:val="00E40CED"/>
    <w:rsid w:val="00E4415E"/>
    <w:rsid w:val="00E46183"/>
    <w:rsid w:val="00E46740"/>
    <w:rsid w:val="00E46920"/>
    <w:rsid w:val="00E55C3E"/>
    <w:rsid w:val="00E572BA"/>
    <w:rsid w:val="00E57522"/>
    <w:rsid w:val="00E576CD"/>
    <w:rsid w:val="00E601ED"/>
    <w:rsid w:val="00E6330F"/>
    <w:rsid w:val="00E633DC"/>
    <w:rsid w:val="00E638B6"/>
    <w:rsid w:val="00E6690F"/>
    <w:rsid w:val="00E76E19"/>
    <w:rsid w:val="00E83940"/>
    <w:rsid w:val="00E84A58"/>
    <w:rsid w:val="00E84C39"/>
    <w:rsid w:val="00E86C5D"/>
    <w:rsid w:val="00E87FCE"/>
    <w:rsid w:val="00E952B3"/>
    <w:rsid w:val="00E96636"/>
    <w:rsid w:val="00EA1D9E"/>
    <w:rsid w:val="00EA374D"/>
    <w:rsid w:val="00EA73F6"/>
    <w:rsid w:val="00EB0FA1"/>
    <w:rsid w:val="00EB1F30"/>
    <w:rsid w:val="00EB5119"/>
    <w:rsid w:val="00EB5F2B"/>
    <w:rsid w:val="00EB70B5"/>
    <w:rsid w:val="00EC2DF3"/>
    <w:rsid w:val="00EC4417"/>
    <w:rsid w:val="00ED0140"/>
    <w:rsid w:val="00ED07CF"/>
    <w:rsid w:val="00ED3B7E"/>
    <w:rsid w:val="00ED445B"/>
    <w:rsid w:val="00ED4B8D"/>
    <w:rsid w:val="00ED71E6"/>
    <w:rsid w:val="00EE2EA3"/>
    <w:rsid w:val="00EE305D"/>
    <w:rsid w:val="00EE5680"/>
    <w:rsid w:val="00EE6137"/>
    <w:rsid w:val="00EF0C41"/>
    <w:rsid w:val="00EF2DE7"/>
    <w:rsid w:val="00F00281"/>
    <w:rsid w:val="00F00DB1"/>
    <w:rsid w:val="00F042F4"/>
    <w:rsid w:val="00F0695F"/>
    <w:rsid w:val="00F06A70"/>
    <w:rsid w:val="00F07600"/>
    <w:rsid w:val="00F07817"/>
    <w:rsid w:val="00F07C2F"/>
    <w:rsid w:val="00F112CF"/>
    <w:rsid w:val="00F1179D"/>
    <w:rsid w:val="00F12B38"/>
    <w:rsid w:val="00F234C1"/>
    <w:rsid w:val="00F23AAF"/>
    <w:rsid w:val="00F243B5"/>
    <w:rsid w:val="00F24B6C"/>
    <w:rsid w:val="00F31575"/>
    <w:rsid w:val="00F338EA"/>
    <w:rsid w:val="00F36FA0"/>
    <w:rsid w:val="00F3732D"/>
    <w:rsid w:val="00F41193"/>
    <w:rsid w:val="00F427A5"/>
    <w:rsid w:val="00F44C3C"/>
    <w:rsid w:val="00F44E2B"/>
    <w:rsid w:val="00F5014E"/>
    <w:rsid w:val="00F53F59"/>
    <w:rsid w:val="00F55C52"/>
    <w:rsid w:val="00F5641A"/>
    <w:rsid w:val="00F56563"/>
    <w:rsid w:val="00F56D64"/>
    <w:rsid w:val="00F627CC"/>
    <w:rsid w:val="00F651B7"/>
    <w:rsid w:val="00F6597A"/>
    <w:rsid w:val="00F6740D"/>
    <w:rsid w:val="00F70DF0"/>
    <w:rsid w:val="00F724A5"/>
    <w:rsid w:val="00F73948"/>
    <w:rsid w:val="00F739B1"/>
    <w:rsid w:val="00F743FA"/>
    <w:rsid w:val="00F8087A"/>
    <w:rsid w:val="00F81D97"/>
    <w:rsid w:val="00F839BC"/>
    <w:rsid w:val="00F85B28"/>
    <w:rsid w:val="00F946B0"/>
    <w:rsid w:val="00F9549B"/>
    <w:rsid w:val="00F96819"/>
    <w:rsid w:val="00F96EBA"/>
    <w:rsid w:val="00F976B6"/>
    <w:rsid w:val="00FA2C99"/>
    <w:rsid w:val="00FB03A1"/>
    <w:rsid w:val="00FB30E6"/>
    <w:rsid w:val="00FB34B3"/>
    <w:rsid w:val="00FC1D29"/>
    <w:rsid w:val="00FC21BB"/>
    <w:rsid w:val="00FC2B51"/>
    <w:rsid w:val="00FC58B7"/>
    <w:rsid w:val="00FD009A"/>
    <w:rsid w:val="00FD0C79"/>
    <w:rsid w:val="00FD24EB"/>
    <w:rsid w:val="00FD3FD1"/>
    <w:rsid w:val="00FD4463"/>
    <w:rsid w:val="00FD57DD"/>
    <w:rsid w:val="00FD646E"/>
    <w:rsid w:val="00FE0FCB"/>
    <w:rsid w:val="00FF2124"/>
    <w:rsid w:val="00FF35DE"/>
    <w:rsid w:val="00FF50B3"/>
    <w:rsid w:val="00FF6D26"/>
    <w:rsid w:val="0160B63E"/>
    <w:rsid w:val="017427D9"/>
    <w:rsid w:val="0180B621"/>
    <w:rsid w:val="02C30737"/>
    <w:rsid w:val="032CBAA2"/>
    <w:rsid w:val="046375C6"/>
    <w:rsid w:val="053D7A6F"/>
    <w:rsid w:val="06B58129"/>
    <w:rsid w:val="085FA6B3"/>
    <w:rsid w:val="091CE766"/>
    <w:rsid w:val="09FA45C8"/>
    <w:rsid w:val="0AA68041"/>
    <w:rsid w:val="0C22AEE8"/>
    <w:rsid w:val="0C68A4A7"/>
    <w:rsid w:val="0C695CBE"/>
    <w:rsid w:val="0D93097E"/>
    <w:rsid w:val="0E6C3DF1"/>
    <w:rsid w:val="0FC1947E"/>
    <w:rsid w:val="0FE56B15"/>
    <w:rsid w:val="0FF8309C"/>
    <w:rsid w:val="1028E152"/>
    <w:rsid w:val="10DE77CC"/>
    <w:rsid w:val="116C8DF4"/>
    <w:rsid w:val="118723E5"/>
    <w:rsid w:val="120E5BCD"/>
    <w:rsid w:val="124A0119"/>
    <w:rsid w:val="129BEEC7"/>
    <w:rsid w:val="12D23A0B"/>
    <w:rsid w:val="132B49E0"/>
    <w:rsid w:val="1344A421"/>
    <w:rsid w:val="13E40E6B"/>
    <w:rsid w:val="1550FA14"/>
    <w:rsid w:val="160BF82C"/>
    <w:rsid w:val="16D05D4B"/>
    <w:rsid w:val="16F431AF"/>
    <w:rsid w:val="1764AFDD"/>
    <w:rsid w:val="1838F4F9"/>
    <w:rsid w:val="185D45BE"/>
    <w:rsid w:val="1893AEB2"/>
    <w:rsid w:val="18AC7987"/>
    <w:rsid w:val="18B6FAF3"/>
    <w:rsid w:val="19023327"/>
    <w:rsid w:val="1919AF56"/>
    <w:rsid w:val="191D1EDA"/>
    <w:rsid w:val="1AC79227"/>
    <w:rsid w:val="1B8BF15E"/>
    <w:rsid w:val="1C920912"/>
    <w:rsid w:val="1DF185E0"/>
    <w:rsid w:val="1DF44B88"/>
    <w:rsid w:val="1DF8351D"/>
    <w:rsid w:val="1EC7EA06"/>
    <w:rsid w:val="1F798CD5"/>
    <w:rsid w:val="1F9F64E8"/>
    <w:rsid w:val="202FF8A6"/>
    <w:rsid w:val="207E60BE"/>
    <w:rsid w:val="212D3ED9"/>
    <w:rsid w:val="23721AAD"/>
    <w:rsid w:val="23CE6743"/>
    <w:rsid w:val="23FF9E83"/>
    <w:rsid w:val="24471AED"/>
    <w:rsid w:val="258DBBD8"/>
    <w:rsid w:val="276D4D61"/>
    <w:rsid w:val="27A5F007"/>
    <w:rsid w:val="2873698C"/>
    <w:rsid w:val="2A4D77FE"/>
    <w:rsid w:val="2A97B4C4"/>
    <w:rsid w:val="2AD04180"/>
    <w:rsid w:val="2B041F9B"/>
    <w:rsid w:val="2B3B7320"/>
    <w:rsid w:val="2DCDDF2A"/>
    <w:rsid w:val="2E358414"/>
    <w:rsid w:val="2E7545F3"/>
    <w:rsid w:val="2F742505"/>
    <w:rsid w:val="2FEF48FC"/>
    <w:rsid w:val="3052999A"/>
    <w:rsid w:val="30A6ABDF"/>
    <w:rsid w:val="318AB254"/>
    <w:rsid w:val="31B15FE7"/>
    <w:rsid w:val="321EEFD9"/>
    <w:rsid w:val="32872625"/>
    <w:rsid w:val="328B4297"/>
    <w:rsid w:val="32A7BD8D"/>
    <w:rsid w:val="32C99D84"/>
    <w:rsid w:val="33DB0D6C"/>
    <w:rsid w:val="34214497"/>
    <w:rsid w:val="34595173"/>
    <w:rsid w:val="34CE6096"/>
    <w:rsid w:val="355796E8"/>
    <w:rsid w:val="35B99CBF"/>
    <w:rsid w:val="35F684E9"/>
    <w:rsid w:val="36F424F0"/>
    <w:rsid w:val="370E6995"/>
    <w:rsid w:val="3722CAEA"/>
    <w:rsid w:val="372997C5"/>
    <w:rsid w:val="37D372C6"/>
    <w:rsid w:val="37E52C8F"/>
    <w:rsid w:val="37F9BDDD"/>
    <w:rsid w:val="3918DBF1"/>
    <w:rsid w:val="3A4E5290"/>
    <w:rsid w:val="3A6F9CDC"/>
    <w:rsid w:val="3B4A67D5"/>
    <w:rsid w:val="3C798BE6"/>
    <w:rsid w:val="3CA65669"/>
    <w:rsid w:val="3CD17A38"/>
    <w:rsid w:val="3D74530A"/>
    <w:rsid w:val="3E98AE6B"/>
    <w:rsid w:val="3EBFFBEE"/>
    <w:rsid w:val="3F182F7F"/>
    <w:rsid w:val="3FD0362C"/>
    <w:rsid w:val="400AC98D"/>
    <w:rsid w:val="406F7A5E"/>
    <w:rsid w:val="40719354"/>
    <w:rsid w:val="4365A01F"/>
    <w:rsid w:val="4371788B"/>
    <w:rsid w:val="438486ED"/>
    <w:rsid w:val="452938A7"/>
    <w:rsid w:val="45558AD5"/>
    <w:rsid w:val="4561DCA6"/>
    <w:rsid w:val="4579F71D"/>
    <w:rsid w:val="4813241A"/>
    <w:rsid w:val="491FE44A"/>
    <w:rsid w:val="49561C1B"/>
    <w:rsid w:val="49C7CC5B"/>
    <w:rsid w:val="4A44A46D"/>
    <w:rsid w:val="4B639017"/>
    <w:rsid w:val="4B65C003"/>
    <w:rsid w:val="4CB08DD6"/>
    <w:rsid w:val="4D2D7BED"/>
    <w:rsid w:val="4DDBB33E"/>
    <w:rsid w:val="4FFD1B5F"/>
    <w:rsid w:val="50EF0CFC"/>
    <w:rsid w:val="5393F957"/>
    <w:rsid w:val="5561878C"/>
    <w:rsid w:val="55733238"/>
    <w:rsid w:val="55EEF89A"/>
    <w:rsid w:val="56BFCE04"/>
    <w:rsid w:val="579F216C"/>
    <w:rsid w:val="5801C4BA"/>
    <w:rsid w:val="5AA35604"/>
    <w:rsid w:val="5B3C0AF3"/>
    <w:rsid w:val="5BE1535C"/>
    <w:rsid w:val="5C8AE770"/>
    <w:rsid w:val="5D976963"/>
    <w:rsid w:val="5DEE7B89"/>
    <w:rsid w:val="5EA1D696"/>
    <w:rsid w:val="5F51137A"/>
    <w:rsid w:val="5F58BF82"/>
    <w:rsid w:val="5F6D0ECB"/>
    <w:rsid w:val="5FB5336F"/>
    <w:rsid w:val="5FD99F91"/>
    <w:rsid w:val="600A22A7"/>
    <w:rsid w:val="60AF4D5A"/>
    <w:rsid w:val="613AEE02"/>
    <w:rsid w:val="6287706D"/>
    <w:rsid w:val="62D92031"/>
    <w:rsid w:val="634612AA"/>
    <w:rsid w:val="63AD5220"/>
    <w:rsid w:val="6421C562"/>
    <w:rsid w:val="64D17F33"/>
    <w:rsid w:val="64D711A5"/>
    <w:rsid w:val="64FB28BD"/>
    <w:rsid w:val="656CD099"/>
    <w:rsid w:val="65ABD2DA"/>
    <w:rsid w:val="66484314"/>
    <w:rsid w:val="66802A58"/>
    <w:rsid w:val="672C007F"/>
    <w:rsid w:val="67E847D6"/>
    <w:rsid w:val="68FFB2CB"/>
    <w:rsid w:val="6925A69A"/>
    <w:rsid w:val="69780E48"/>
    <w:rsid w:val="6A93F3ED"/>
    <w:rsid w:val="6B10D8BD"/>
    <w:rsid w:val="6B3EB88B"/>
    <w:rsid w:val="6C14850E"/>
    <w:rsid w:val="6C84D790"/>
    <w:rsid w:val="6D7A4375"/>
    <w:rsid w:val="6DDEAF49"/>
    <w:rsid w:val="6FFA70FB"/>
    <w:rsid w:val="707F6F14"/>
    <w:rsid w:val="70915907"/>
    <w:rsid w:val="70CB42CD"/>
    <w:rsid w:val="720919FF"/>
    <w:rsid w:val="723A7B4F"/>
    <w:rsid w:val="7272F7D2"/>
    <w:rsid w:val="72753777"/>
    <w:rsid w:val="73AA2681"/>
    <w:rsid w:val="73FEC581"/>
    <w:rsid w:val="74332B10"/>
    <w:rsid w:val="75BE77A6"/>
    <w:rsid w:val="76264928"/>
    <w:rsid w:val="76D4B0EB"/>
    <w:rsid w:val="76E53D06"/>
    <w:rsid w:val="77CC1469"/>
    <w:rsid w:val="77FD1FCB"/>
    <w:rsid w:val="785CE763"/>
    <w:rsid w:val="78A3FE24"/>
    <w:rsid w:val="78B917EA"/>
    <w:rsid w:val="793D3E12"/>
    <w:rsid w:val="79554B36"/>
    <w:rsid w:val="79C083A6"/>
    <w:rsid w:val="7B16FABE"/>
    <w:rsid w:val="7B7FEC69"/>
    <w:rsid w:val="7CD5082F"/>
    <w:rsid w:val="7CEF617B"/>
    <w:rsid w:val="7DA1102A"/>
    <w:rsid w:val="7DAFA256"/>
    <w:rsid w:val="7DC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E72F"/>
  <w15:chartTrackingRefBased/>
  <w15:docId w15:val="{AF07877F-5CF7-41F8-9049-F894AD4B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6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FD8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F56D64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F56D64"/>
    <w:pPr>
      <w:ind w:left="720"/>
      <w:contextualSpacing/>
    </w:pPr>
  </w:style>
  <w:style w:type="table" w:styleId="TableGrid">
    <w:name w:val="Table Grid"/>
    <w:basedOn w:val="TableNormal"/>
    <w:uiPriority w:val="39"/>
    <w:rsid w:val="00F2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44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6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8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rgbClr val="7030A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Lower</c:v>
                </c:pt>
                <c:pt idx="1">
                  <c:v>Lower Mid</c:v>
                </c:pt>
                <c:pt idx="2">
                  <c:v>Upper Mid</c:v>
                </c:pt>
                <c:pt idx="3">
                  <c:v>Upper 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0.75</c:v>
                </c:pt>
                <c:pt idx="1">
                  <c:v>0.65</c:v>
                </c:pt>
                <c:pt idx="2">
                  <c:v>0.56000000000000005</c:v>
                </c:pt>
                <c:pt idx="3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3A-4A15-970F-2E131DDDFB2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Lower</c:v>
                </c:pt>
                <c:pt idx="1">
                  <c:v>Lower Mid</c:v>
                </c:pt>
                <c:pt idx="2">
                  <c:v>Upper Mid</c:v>
                </c:pt>
                <c:pt idx="3">
                  <c:v>Upper 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0.25</c:v>
                </c:pt>
                <c:pt idx="1">
                  <c:v>0.35</c:v>
                </c:pt>
                <c:pt idx="2">
                  <c:v>0.44</c:v>
                </c:pt>
                <c:pt idx="3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3A-4A15-970F-2E131DDDFB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82870480"/>
        <c:axId val="782858480"/>
      </c:barChart>
      <c:catAx>
        <c:axId val="78287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2858480"/>
        <c:crosses val="autoZero"/>
        <c:auto val="1"/>
        <c:lblAlgn val="ctr"/>
        <c:lblOffset val="100"/>
        <c:noMultiLvlLbl val="0"/>
      </c:catAx>
      <c:valAx>
        <c:axId val="78285848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287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ea8d03-486b-43ee-a2cc-3735b72ad6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F3638F6288D4490AB86C020BE3DA9" ma:contentTypeVersion="17" ma:contentTypeDescription="Create a new document." ma:contentTypeScope="" ma:versionID="7f14a062b67bd6aa4cd450bbb8b452e8">
  <xsd:schema xmlns:xsd="http://www.w3.org/2001/XMLSchema" xmlns:xs="http://www.w3.org/2001/XMLSchema" xmlns:p="http://schemas.microsoft.com/office/2006/metadata/properties" xmlns:ns3="d5ea8d03-486b-43ee-a2cc-3735b72ad6f8" xmlns:ns4="c738b08f-c650-4688-86a0-26767ebd681b" targetNamespace="http://schemas.microsoft.com/office/2006/metadata/properties" ma:root="true" ma:fieldsID="031da18b4f73fd823ec68b95d2b36a20" ns3:_="" ns4:_="">
    <xsd:import namespace="d5ea8d03-486b-43ee-a2cc-3735b72ad6f8"/>
    <xsd:import namespace="c738b08f-c650-4688-86a0-26767ebd68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a8d03-486b-43ee-a2cc-3735b72ad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8b08f-c650-4688-86a0-26767ebd68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744378-0C33-4CF2-90DB-3D60FD8FE72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d5ea8d03-486b-43ee-a2cc-3735b72ad6f8"/>
    <ds:schemaRef ds:uri="http://purl.org/dc/terms/"/>
    <ds:schemaRef ds:uri="http://schemas.microsoft.com/office/infopath/2007/PartnerControls"/>
    <ds:schemaRef ds:uri="c738b08f-c650-4688-86a0-26767ebd681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F1D4FB-11BD-497F-96D8-0D4E9B6D0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2F5C4-6A4F-45E3-BE46-640F3DB10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a8d03-486b-43ee-a2cc-3735b72ad6f8"/>
    <ds:schemaRef ds:uri="c738b08f-c650-4688-86a0-26767ebd6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1309</Words>
  <Characters>7465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Bright</dc:creator>
  <cp:keywords/>
  <dc:description/>
  <cp:lastModifiedBy>Hilary Bright</cp:lastModifiedBy>
  <cp:revision>2</cp:revision>
  <cp:lastPrinted>2025-03-05T16:04:00Z</cp:lastPrinted>
  <dcterms:created xsi:type="dcterms:W3CDTF">2025-03-24T15:05:00Z</dcterms:created>
  <dcterms:modified xsi:type="dcterms:W3CDTF">2025-03-24T15:05:00Z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0x010100F6AF3638F6288D4490AB86C020BE3DA9</vt:lpwstr>
  </property>
  <property fmtid="{D5CDD505-2E9C-101B-9397-08002B2CF9AE}" pid="3" name="MediaServiceImageTags">
    <vt:lpwstr/>
  </property>
</Properties>
</file>