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62CEA" w:rsidRDefault="005437BF" w14:paraId="36803025" w14:textId="77777777">
      <w:pPr>
        <w:spacing w:after="0" w:line="259" w:lineRule="auto"/>
        <w:ind w:left="0" w:right="0" w:firstLine="0"/>
      </w:pPr>
      <w:r>
        <w:rPr>
          <w:rFonts w:ascii="Calibri" w:hAnsi="Calibri" w:eastAsia="Calibri" w:cs="Calibri"/>
          <w:sz w:val="22"/>
        </w:rPr>
        <w:t xml:space="preserve"> </w:t>
      </w:r>
    </w:p>
    <w:p w:rsidR="00B62CEA" w:rsidRDefault="005437BF" w14:paraId="6EC3DF78" w14:textId="77777777">
      <w:pPr>
        <w:spacing w:after="64" w:line="259" w:lineRule="auto"/>
        <w:ind w:left="-1157" w:right="-1101" w:firstLine="0"/>
      </w:pPr>
      <w:r>
        <w:rPr>
          <w:rFonts w:ascii="Calibri" w:hAnsi="Calibri" w:eastAsia="Calibri" w:cs="Calibri"/>
          <w:noProof/>
          <w:sz w:val="22"/>
        </w:rPr>
        <mc:AlternateContent>
          <mc:Choice Requires="wpg">
            <w:drawing>
              <wp:inline distT="0" distB="0" distL="0" distR="0" wp14:anchorId="2AB6DB0F" wp14:editId="43FE8B4B">
                <wp:extent cx="7200900" cy="252095"/>
                <wp:effectExtent l="0" t="0" r="0" b="0"/>
                <wp:docPr id="2761" name="Group 2761"/>
                <wp:cNvGraphicFramePr/>
                <a:graphic xmlns:a="http://schemas.openxmlformats.org/drawingml/2006/main">
                  <a:graphicData uri="http://schemas.microsoft.com/office/word/2010/wordprocessingGroup">
                    <wpg:wgp>
                      <wpg:cNvGrpSpPr/>
                      <wpg:grpSpPr>
                        <a:xfrm>
                          <a:off x="0" y="0"/>
                          <a:ext cx="7200900" cy="252095"/>
                          <a:chOff x="0" y="0"/>
                          <a:chExt cx="7200900" cy="252095"/>
                        </a:xfrm>
                      </wpg:grpSpPr>
                      <wps:wsp>
                        <wps:cNvPr id="4135" name="Shape 4135"/>
                        <wps:cNvSpPr/>
                        <wps:spPr>
                          <a:xfrm>
                            <a:off x="0" y="0"/>
                            <a:ext cx="2433955" cy="252095"/>
                          </a:xfrm>
                          <a:custGeom>
                            <a:avLst/>
                            <a:gdLst/>
                            <a:ahLst/>
                            <a:cxnLst/>
                            <a:rect l="0" t="0" r="0" b="0"/>
                            <a:pathLst>
                              <a:path w="2433955" h="252095">
                                <a:moveTo>
                                  <a:pt x="0" y="0"/>
                                </a:moveTo>
                                <a:lnTo>
                                  <a:pt x="2433955" y="0"/>
                                </a:lnTo>
                                <a:lnTo>
                                  <a:pt x="2433955" y="252095"/>
                                </a:lnTo>
                                <a:lnTo>
                                  <a:pt x="0" y="252095"/>
                                </a:lnTo>
                                <a:lnTo>
                                  <a:pt x="0" y="0"/>
                                </a:lnTo>
                              </a:path>
                            </a:pathLst>
                          </a:custGeom>
                          <a:ln w="0" cap="flat">
                            <a:miter lim="127000"/>
                          </a:ln>
                        </wps:spPr>
                        <wps:style>
                          <a:lnRef idx="0">
                            <a:srgbClr val="000000">
                              <a:alpha val="0"/>
                            </a:srgbClr>
                          </a:lnRef>
                          <a:fillRef idx="1">
                            <a:srgbClr val="E1251B"/>
                          </a:fillRef>
                          <a:effectRef idx="0">
                            <a:scrgbClr r="0" g="0" b="0"/>
                          </a:effectRef>
                          <a:fontRef idx="none"/>
                        </wps:style>
                        <wps:bodyPr/>
                      </wps:wsp>
                      <wps:wsp>
                        <wps:cNvPr id="4136" name="Shape 4136"/>
                        <wps:cNvSpPr/>
                        <wps:spPr>
                          <a:xfrm>
                            <a:off x="2433320" y="0"/>
                            <a:ext cx="2333625" cy="252095"/>
                          </a:xfrm>
                          <a:custGeom>
                            <a:avLst/>
                            <a:gdLst/>
                            <a:ahLst/>
                            <a:cxnLst/>
                            <a:rect l="0" t="0" r="0" b="0"/>
                            <a:pathLst>
                              <a:path w="2333625" h="252095">
                                <a:moveTo>
                                  <a:pt x="0" y="0"/>
                                </a:moveTo>
                                <a:lnTo>
                                  <a:pt x="2333625" y="0"/>
                                </a:lnTo>
                                <a:lnTo>
                                  <a:pt x="2333625" y="252095"/>
                                </a:lnTo>
                                <a:lnTo>
                                  <a:pt x="0" y="252095"/>
                                </a:lnTo>
                                <a:lnTo>
                                  <a:pt x="0" y="0"/>
                                </a:lnTo>
                              </a:path>
                            </a:pathLst>
                          </a:custGeom>
                          <a:ln w="0" cap="flat">
                            <a:miter lim="127000"/>
                          </a:ln>
                        </wps:spPr>
                        <wps:style>
                          <a:lnRef idx="0">
                            <a:srgbClr val="000000">
                              <a:alpha val="0"/>
                            </a:srgbClr>
                          </a:lnRef>
                          <a:fillRef idx="1">
                            <a:srgbClr val="93358D"/>
                          </a:fillRef>
                          <a:effectRef idx="0">
                            <a:scrgbClr r="0" g="0" b="0"/>
                          </a:effectRef>
                          <a:fontRef idx="none"/>
                        </wps:style>
                        <wps:bodyPr/>
                      </wps:wsp>
                      <wps:wsp>
                        <wps:cNvPr id="4137" name="Shape 4137"/>
                        <wps:cNvSpPr/>
                        <wps:spPr>
                          <a:xfrm>
                            <a:off x="4766945" y="0"/>
                            <a:ext cx="2433955" cy="252095"/>
                          </a:xfrm>
                          <a:custGeom>
                            <a:avLst/>
                            <a:gdLst/>
                            <a:ahLst/>
                            <a:cxnLst/>
                            <a:rect l="0" t="0" r="0" b="0"/>
                            <a:pathLst>
                              <a:path w="2433955" h="252095">
                                <a:moveTo>
                                  <a:pt x="0" y="0"/>
                                </a:moveTo>
                                <a:lnTo>
                                  <a:pt x="2433955" y="0"/>
                                </a:lnTo>
                                <a:lnTo>
                                  <a:pt x="2433955" y="252095"/>
                                </a:lnTo>
                                <a:lnTo>
                                  <a:pt x="0" y="252095"/>
                                </a:lnTo>
                                <a:lnTo>
                                  <a:pt x="0" y="0"/>
                                </a:lnTo>
                              </a:path>
                            </a:pathLst>
                          </a:custGeom>
                          <a:ln w="0" cap="flat">
                            <a:miter lim="127000"/>
                          </a:ln>
                        </wps:spPr>
                        <wps:style>
                          <a:lnRef idx="0">
                            <a:srgbClr val="000000">
                              <a:alpha val="0"/>
                            </a:srgbClr>
                          </a:lnRef>
                          <a:fillRef idx="1">
                            <a:srgbClr val="F4A1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0A6D3C05">
              <v:group id="Group 2761" style="width:567pt;height:19.85pt;mso-position-horizontal-relative:char;mso-position-vertical-relative:line" coordsize="72009,2520">
                <v:shape id="Shape 4138" style="position:absolute;width:24339;height:2520;left:0;top:0;" coordsize="2433955,252095" path="m0,0l2433955,0l2433955,252095l0,252095l0,0">
                  <v:stroke on="false" weight="0pt" color="#000000" opacity="0" miterlimit="10" joinstyle="miter" endcap="flat"/>
                  <v:fill on="true" color="#e1251b"/>
                </v:shape>
                <v:shape id="Shape 4139" style="position:absolute;width:23336;height:2520;left:24333;top:0;" coordsize="2333625,252095" path="m0,0l2333625,0l2333625,252095l0,252095l0,0">
                  <v:stroke on="false" weight="0pt" color="#000000" opacity="0" miterlimit="10" joinstyle="miter" endcap="flat"/>
                  <v:fill on="true" color="#93358d"/>
                </v:shape>
                <v:shape id="Shape 4140" style="position:absolute;width:24339;height:2520;left:47669;top:0;" coordsize="2433955,252095" path="m0,0l2433955,0l2433955,252095l0,252095l0,0">
                  <v:stroke on="false" weight="0pt" color="#000000" opacity="0" miterlimit="10" joinstyle="miter" endcap="flat"/>
                  <v:fill on="true" color="#f4a100"/>
                </v:shape>
              </v:group>
            </w:pict>
          </mc:Fallback>
        </mc:AlternateContent>
      </w:r>
    </w:p>
    <w:p w:rsidR="00B62CEA" w:rsidRDefault="005437BF" w14:paraId="6B60EB3D" w14:textId="77777777">
      <w:pPr>
        <w:spacing w:after="0" w:line="259" w:lineRule="auto"/>
        <w:ind w:left="0" w:right="0" w:firstLine="0"/>
      </w:pPr>
      <w:r>
        <w:rPr>
          <w:sz w:val="26"/>
        </w:rPr>
        <w:t xml:space="preserve"> </w:t>
      </w:r>
    </w:p>
    <w:p w:rsidR="00B62CEA" w:rsidRDefault="005437BF" w14:paraId="002D6BB0" w14:textId="77777777">
      <w:pPr>
        <w:spacing w:after="0" w:line="259" w:lineRule="auto"/>
        <w:ind w:left="0" w:right="0" w:firstLine="0"/>
      </w:pPr>
      <w:r>
        <w:rPr>
          <w:sz w:val="26"/>
        </w:rPr>
        <w:t xml:space="preserve"> </w:t>
      </w:r>
    </w:p>
    <w:p w:rsidR="00B62CEA" w:rsidRDefault="005437BF" w14:paraId="69890166" w14:textId="77777777">
      <w:pPr>
        <w:spacing w:after="0" w:line="259" w:lineRule="auto"/>
        <w:ind w:left="0" w:right="0" w:firstLine="0"/>
      </w:pPr>
      <w:r>
        <w:rPr>
          <w:sz w:val="26"/>
        </w:rPr>
        <w:t xml:space="preserve"> </w:t>
      </w:r>
    </w:p>
    <w:p w:rsidR="00B62CEA" w:rsidRDefault="005437BF" w14:paraId="48078451" w14:textId="77777777">
      <w:pPr>
        <w:spacing w:after="0" w:line="259" w:lineRule="auto"/>
        <w:ind w:left="0" w:right="0" w:firstLine="0"/>
      </w:pPr>
      <w:r>
        <w:rPr>
          <w:sz w:val="26"/>
        </w:rPr>
        <w:t xml:space="preserve"> </w:t>
      </w:r>
    </w:p>
    <w:p w:rsidR="00B62CEA" w:rsidRDefault="005437BF" w14:paraId="636BEC9E" w14:textId="77777777">
      <w:pPr>
        <w:spacing w:after="0" w:line="259" w:lineRule="auto"/>
        <w:ind w:left="0" w:right="0" w:firstLine="0"/>
      </w:pPr>
      <w:r>
        <w:t xml:space="preserve"> </w:t>
      </w:r>
    </w:p>
    <w:p w:rsidR="00B62CEA" w:rsidRDefault="005437BF" w14:paraId="3E615765" w14:textId="77777777">
      <w:pPr>
        <w:spacing w:after="725" w:line="259" w:lineRule="auto"/>
        <w:ind w:left="0" w:right="0" w:firstLine="0"/>
      </w:pPr>
      <w:r>
        <w:rPr>
          <w:sz w:val="26"/>
        </w:rPr>
        <w:t xml:space="preserve"> </w:t>
      </w:r>
    </w:p>
    <w:p w:rsidR="00B62CEA" w:rsidRDefault="005437BF" w14:paraId="37628A0B" w14:textId="77777777">
      <w:pPr>
        <w:spacing w:after="0" w:line="259" w:lineRule="auto"/>
        <w:ind w:left="-5" w:right="0" w:hanging="10"/>
      </w:pPr>
      <w:r>
        <w:rPr>
          <w:b/>
          <w:sz w:val="120"/>
        </w:rPr>
        <w:t xml:space="preserve">INTERNAL </w:t>
      </w:r>
    </w:p>
    <w:p w:rsidR="00B62CEA" w:rsidRDefault="005437BF" w14:paraId="5A56A55B" w14:textId="77777777">
      <w:pPr>
        <w:spacing w:after="0" w:line="259" w:lineRule="auto"/>
        <w:ind w:left="-5" w:right="0" w:hanging="10"/>
      </w:pPr>
      <w:r>
        <w:rPr>
          <w:b/>
          <w:sz w:val="120"/>
        </w:rPr>
        <w:t xml:space="preserve">PROCEDURE </w:t>
      </w:r>
    </w:p>
    <w:p w:rsidR="00B62CEA" w:rsidRDefault="005437BF" w14:paraId="49127A56" w14:textId="77777777">
      <w:pPr>
        <w:spacing w:after="0" w:line="259" w:lineRule="auto"/>
        <w:ind w:left="0" w:right="0" w:firstLine="0"/>
      </w:pPr>
      <w:r>
        <w:rPr>
          <w:b/>
          <w:sz w:val="40"/>
        </w:rPr>
        <w:t xml:space="preserve"> </w:t>
      </w:r>
    </w:p>
    <w:p w:rsidR="00B62CEA" w:rsidRDefault="005437BF" w14:paraId="64EC0CC2" w14:textId="77777777">
      <w:pPr>
        <w:spacing w:after="0" w:line="259" w:lineRule="auto"/>
        <w:ind w:left="0" w:right="0" w:firstLine="0"/>
      </w:pPr>
      <w:r>
        <w:rPr>
          <w:b/>
          <w:sz w:val="40"/>
        </w:rPr>
        <w:t xml:space="preserve"> </w:t>
      </w:r>
    </w:p>
    <w:p w:rsidR="00B62CEA" w:rsidRDefault="005437BF" w14:paraId="4EB24E4F" w14:textId="77777777">
      <w:pPr>
        <w:spacing w:after="0" w:line="259" w:lineRule="auto"/>
        <w:ind w:left="0" w:right="0" w:firstLine="0"/>
      </w:pPr>
      <w:r>
        <w:rPr>
          <w:b/>
          <w:sz w:val="40"/>
        </w:rPr>
        <w:t xml:space="preserve"> </w:t>
      </w:r>
    </w:p>
    <w:p w:rsidR="00B62CEA" w:rsidRDefault="005437BF" w14:paraId="297312C1" w14:textId="5BBD4D13">
      <w:pPr>
        <w:spacing w:after="0" w:line="259" w:lineRule="auto"/>
        <w:ind w:left="0" w:right="0" w:firstLine="0"/>
      </w:pPr>
      <w:r>
        <w:rPr>
          <w:b/>
          <w:sz w:val="40"/>
        </w:rPr>
        <w:t xml:space="preserve">Title: </w:t>
      </w:r>
      <w:r w:rsidR="00857F5B">
        <w:rPr>
          <w:b/>
          <w:sz w:val="40"/>
        </w:rPr>
        <w:t>Reasonable Adjustments</w:t>
      </w:r>
      <w:r>
        <w:rPr>
          <w:b/>
          <w:sz w:val="40"/>
        </w:rPr>
        <w:t xml:space="preserve"> Procedure </w:t>
      </w:r>
    </w:p>
    <w:p w:rsidR="00B62CEA" w:rsidRDefault="005437BF" w14:paraId="3EA338BA" w14:textId="77777777">
      <w:pPr>
        <w:spacing w:after="0" w:line="259" w:lineRule="auto"/>
        <w:ind w:left="0" w:right="0" w:firstLine="0"/>
      </w:pPr>
      <w:r>
        <w:rPr>
          <w:b/>
          <w:sz w:val="40"/>
        </w:rPr>
        <w:t xml:space="preserve"> </w:t>
      </w:r>
    </w:p>
    <w:tbl>
      <w:tblPr>
        <w:tblStyle w:val="TableGrid1"/>
        <w:tblW w:w="6489" w:type="dxa"/>
        <w:tblInd w:w="0" w:type="dxa"/>
        <w:tblLook w:val="04A0" w:firstRow="1" w:lastRow="0" w:firstColumn="1" w:lastColumn="0" w:noHBand="0" w:noVBand="1"/>
      </w:tblPr>
      <w:tblGrid>
        <w:gridCol w:w="2880"/>
        <w:gridCol w:w="3609"/>
      </w:tblGrid>
      <w:tr w:rsidR="00B62CEA" w:rsidTr="50084808" w14:paraId="7D874C81" w14:textId="77777777">
        <w:trPr>
          <w:trHeight w:val="315"/>
        </w:trPr>
        <w:tc>
          <w:tcPr>
            <w:tcW w:w="2880" w:type="dxa"/>
            <w:tcBorders>
              <w:top w:val="nil"/>
              <w:left w:val="nil"/>
              <w:bottom w:val="nil"/>
              <w:right w:val="nil"/>
            </w:tcBorders>
          </w:tcPr>
          <w:p w:rsidR="00B62CEA" w:rsidRDefault="005437BF" w14:paraId="16C3FD68" w14:textId="77777777">
            <w:pPr>
              <w:spacing w:after="0" w:line="259" w:lineRule="auto"/>
              <w:ind w:left="0" w:right="0" w:firstLine="0"/>
            </w:pPr>
            <w:r>
              <w:rPr>
                <w:b/>
                <w:sz w:val="22"/>
              </w:rPr>
              <w:t xml:space="preserve">POLICY HOLDER:   </w:t>
            </w:r>
          </w:p>
        </w:tc>
        <w:tc>
          <w:tcPr>
            <w:tcW w:w="3609" w:type="dxa"/>
            <w:tcBorders>
              <w:top w:val="nil"/>
              <w:left w:val="nil"/>
              <w:bottom w:val="nil"/>
              <w:right w:val="nil"/>
            </w:tcBorders>
          </w:tcPr>
          <w:p w:rsidR="00B62CEA" w:rsidRDefault="005437BF" w14:paraId="77DD3D58" w14:textId="77777777">
            <w:pPr>
              <w:spacing w:after="0" w:line="259" w:lineRule="auto"/>
              <w:ind w:left="0" w:right="0" w:firstLine="0"/>
              <w:jc w:val="both"/>
            </w:pPr>
            <w:r>
              <w:rPr>
                <w:b/>
                <w:sz w:val="22"/>
              </w:rPr>
              <w:t xml:space="preserve">Assistant Principal </w:t>
            </w:r>
            <w:bookmarkStart w:name="_Int_0uz8wcbr" w:id="0"/>
            <w:r>
              <w:rPr>
                <w:b/>
                <w:sz w:val="22"/>
              </w:rPr>
              <w:t>HE</w:t>
            </w:r>
            <w:bookmarkEnd w:id="0"/>
            <w:r>
              <w:rPr>
                <w:b/>
                <w:sz w:val="22"/>
              </w:rPr>
              <w:t xml:space="preserve"> and Adults </w:t>
            </w:r>
          </w:p>
        </w:tc>
      </w:tr>
      <w:tr w:rsidR="00B62CEA" w:rsidTr="50084808" w14:paraId="45EF1AD8" w14:textId="77777777">
        <w:trPr>
          <w:trHeight w:val="463"/>
        </w:trPr>
        <w:tc>
          <w:tcPr>
            <w:tcW w:w="2880" w:type="dxa"/>
            <w:tcBorders>
              <w:top w:val="nil"/>
              <w:left w:val="nil"/>
              <w:bottom w:val="nil"/>
              <w:right w:val="nil"/>
            </w:tcBorders>
            <w:vAlign w:val="center"/>
          </w:tcPr>
          <w:p w:rsidR="00B62CEA" w:rsidRDefault="005437BF" w14:paraId="4A8EF4A9" w14:textId="77777777">
            <w:pPr>
              <w:tabs>
                <w:tab w:val="center" w:pos="2160"/>
              </w:tabs>
              <w:spacing w:after="0" w:line="259" w:lineRule="auto"/>
              <w:ind w:left="0" w:right="0" w:firstLine="0"/>
            </w:pPr>
            <w:r>
              <w:rPr>
                <w:b/>
                <w:sz w:val="22"/>
              </w:rPr>
              <w:t xml:space="preserve">SMT OWNER: </w:t>
            </w:r>
            <w:r>
              <w:rPr>
                <w:rFonts w:ascii="Cambria" w:hAnsi="Cambria" w:eastAsia="Cambria" w:cs="Cambria"/>
              </w:rPr>
              <w:t xml:space="preserve"> </w:t>
            </w:r>
            <w:r>
              <w:rPr>
                <w:rFonts w:ascii="Cambria" w:hAnsi="Cambria" w:eastAsia="Cambria" w:cs="Cambria"/>
              </w:rPr>
              <w:tab/>
            </w:r>
            <w:r>
              <w:rPr>
                <w:rFonts w:ascii="Cambria" w:hAnsi="Cambria" w:eastAsia="Cambria" w:cs="Cambria"/>
              </w:rPr>
              <w:t xml:space="preserve"> </w:t>
            </w:r>
          </w:p>
        </w:tc>
        <w:tc>
          <w:tcPr>
            <w:tcW w:w="3609" w:type="dxa"/>
            <w:tcBorders>
              <w:top w:val="nil"/>
              <w:left w:val="nil"/>
              <w:bottom w:val="nil"/>
              <w:right w:val="nil"/>
            </w:tcBorders>
            <w:vAlign w:val="center"/>
          </w:tcPr>
          <w:p w:rsidR="00B62CEA" w:rsidRDefault="0042553C" w14:paraId="694CE4B6" w14:textId="5A3EDEA4">
            <w:pPr>
              <w:spacing w:after="0" w:line="259" w:lineRule="auto"/>
              <w:ind w:left="0" w:right="0" w:firstLine="0"/>
            </w:pPr>
            <w:r>
              <w:rPr>
                <w:b/>
                <w:sz w:val="22"/>
              </w:rPr>
              <w:t>Vice Principal Curriculum and Quality</w:t>
            </w:r>
          </w:p>
        </w:tc>
      </w:tr>
      <w:tr w:rsidR="00B62CEA" w:rsidTr="50084808" w14:paraId="211500A0" w14:textId="77777777">
        <w:trPr>
          <w:trHeight w:val="442"/>
        </w:trPr>
        <w:tc>
          <w:tcPr>
            <w:tcW w:w="2880" w:type="dxa"/>
            <w:tcBorders>
              <w:top w:val="nil"/>
              <w:left w:val="nil"/>
              <w:bottom w:val="nil"/>
              <w:right w:val="nil"/>
            </w:tcBorders>
            <w:vAlign w:val="center"/>
          </w:tcPr>
          <w:p w:rsidR="00B62CEA" w:rsidRDefault="005437BF" w14:paraId="00E5AC8F" w14:textId="77777777">
            <w:pPr>
              <w:spacing w:after="0" w:line="259" w:lineRule="auto"/>
              <w:ind w:left="0" w:right="0" w:firstLine="0"/>
            </w:pPr>
            <w:r>
              <w:rPr>
                <w:b/>
                <w:sz w:val="22"/>
              </w:rPr>
              <w:t xml:space="preserve">APPROVAL BOARD: </w:t>
            </w:r>
          </w:p>
        </w:tc>
        <w:tc>
          <w:tcPr>
            <w:tcW w:w="3609" w:type="dxa"/>
            <w:tcBorders>
              <w:top w:val="nil"/>
              <w:left w:val="nil"/>
              <w:bottom w:val="nil"/>
              <w:right w:val="nil"/>
            </w:tcBorders>
            <w:vAlign w:val="center"/>
          </w:tcPr>
          <w:p w:rsidR="00B62CEA" w:rsidRDefault="005437BF" w14:paraId="0619A67F" w14:textId="77777777">
            <w:pPr>
              <w:spacing w:after="0" w:line="259" w:lineRule="auto"/>
              <w:ind w:left="0" w:right="0" w:firstLine="0"/>
            </w:pPr>
            <w:r>
              <w:rPr>
                <w:b/>
                <w:sz w:val="22"/>
              </w:rPr>
              <w:t xml:space="preserve">AMB/JBoS/LTC </w:t>
            </w:r>
          </w:p>
        </w:tc>
      </w:tr>
      <w:tr w:rsidR="00B62CEA" w:rsidTr="50084808" w14:paraId="400E08FF" w14:textId="77777777">
        <w:trPr>
          <w:trHeight w:val="446"/>
        </w:trPr>
        <w:tc>
          <w:tcPr>
            <w:tcW w:w="2880" w:type="dxa"/>
            <w:tcBorders>
              <w:top w:val="nil"/>
              <w:left w:val="nil"/>
              <w:bottom w:val="nil"/>
              <w:right w:val="nil"/>
            </w:tcBorders>
            <w:vAlign w:val="center"/>
          </w:tcPr>
          <w:p w:rsidR="00B62CEA" w:rsidRDefault="005437BF" w14:paraId="3DC5B8B9" w14:textId="77777777">
            <w:pPr>
              <w:tabs>
                <w:tab w:val="center" w:pos="2160"/>
              </w:tabs>
              <w:spacing w:after="0" w:line="259" w:lineRule="auto"/>
              <w:ind w:left="0" w:right="0" w:firstLine="0"/>
            </w:pPr>
            <w:r>
              <w:rPr>
                <w:b/>
                <w:sz w:val="22"/>
              </w:rPr>
              <w:t xml:space="preserve">VERSION NO:   </w:t>
            </w:r>
            <w:r>
              <w:rPr>
                <w:b/>
                <w:sz w:val="22"/>
              </w:rPr>
              <w:tab/>
            </w:r>
            <w:r>
              <w:rPr>
                <w:b/>
                <w:sz w:val="22"/>
              </w:rPr>
              <w:t xml:space="preserve"> </w:t>
            </w:r>
          </w:p>
        </w:tc>
        <w:tc>
          <w:tcPr>
            <w:tcW w:w="3609" w:type="dxa"/>
            <w:tcBorders>
              <w:top w:val="nil"/>
              <w:left w:val="nil"/>
              <w:bottom w:val="nil"/>
              <w:right w:val="nil"/>
            </w:tcBorders>
            <w:vAlign w:val="center"/>
          </w:tcPr>
          <w:p w:rsidR="00B62CEA" w:rsidRDefault="00857F5B" w14:paraId="654C6D68" w14:textId="0369CB2E">
            <w:pPr>
              <w:tabs>
                <w:tab w:val="center" w:pos="720"/>
              </w:tabs>
              <w:spacing w:after="0" w:line="259" w:lineRule="auto"/>
              <w:ind w:left="0" w:right="0" w:firstLine="0"/>
            </w:pPr>
            <w:r>
              <w:rPr>
                <w:b/>
                <w:sz w:val="22"/>
              </w:rPr>
              <w:t xml:space="preserve">11 </w:t>
            </w:r>
            <w:r>
              <w:rPr>
                <w:b/>
                <w:sz w:val="22"/>
              </w:rPr>
              <w:tab/>
            </w:r>
            <w:r w:rsidR="005437BF">
              <w:rPr>
                <w:b/>
                <w:sz w:val="22"/>
              </w:rPr>
              <w:t xml:space="preserve"> </w:t>
            </w:r>
          </w:p>
        </w:tc>
      </w:tr>
      <w:tr w:rsidR="00B62CEA" w:rsidTr="50084808" w14:paraId="2CBA2FDF" w14:textId="77777777">
        <w:trPr>
          <w:trHeight w:val="327"/>
        </w:trPr>
        <w:tc>
          <w:tcPr>
            <w:tcW w:w="2880" w:type="dxa"/>
            <w:tcBorders>
              <w:top w:val="nil"/>
              <w:left w:val="nil"/>
              <w:bottom w:val="nil"/>
              <w:right w:val="nil"/>
            </w:tcBorders>
            <w:vAlign w:val="bottom"/>
          </w:tcPr>
          <w:p w:rsidR="00B62CEA" w:rsidRDefault="005437BF" w14:paraId="757BECC9" w14:textId="77777777">
            <w:pPr>
              <w:spacing w:after="0" w:line="259" w:lineRule="auto"/>
              <w:ind w:left="0" w:right="0" w:firstLine="0"/>
            </w:pPr>
            <w:r>
              <w:rPr>
                <w:b/>
                <w:sz w:val="22"/>
              </w:rPr>
              <w:t xml:space="preserve">LAST REVIEWED:   </w:t>
            </w:r>
          </w:p>
        </w:tc>
        <w:tc>
          <w:tcPr>
            <w:tcW w:w="3609" w:type="dxa"/>
            <w:tcBorders>
              <w:top w:val="nil"/>
              <w:left w:val="nil"/>
              <w:bottom w:val="nil"/>
              <w:right w:val="nil"/>
            </w:tcBorders>
            <w:vAlign w:val="bottom"/>
          </w:tcPr>
          <w:p w:rsidR="00B62CEA" w:rsidRDefault="6A024BDD" w14:paraId="2E37C62B" w14:textId="0CA44941">
            <w:pPr>
              <w:spacing w:after="0" w:line="259" w:lineRule="auto"/>
              <w:ind w:left="0" w:right="0" w:firstLine="0"/>
            </w:pPr>
            <w:r w:rsidRPr="50084808">
              <w:rPr>
                <w:b/>
                <w:bCs/>
                <w:sz w:val="22"/>
              </w:rPr>
              <w:t xml:space="preserve">August 2022 </w:t>
            </w:r>
          </w:p>
        </w:tc>
      </w:tr>
    </w:tbl>
    <w:p w:rsidR="00B62CEA" w:rsidRDefault="005437BF" w14:paraId="7DCB4617" w14:textId="77777777">
      <w:pPr>
        <w:spacing w:after="0" w:line="259" w:lineRule="auto"/>
        <w:ind w:left="0" w:right="0" w:firstLine="0"/>
      </w:pPr>
      <w:r>
        <w:rPr>
          <w:b/>
          <w:sz w:val="22"/>
        </w:rPr>
        <w:t xml:space="preserve"> </w:t>
      </w:r>
    </w:p>
    <w:p w:rsidR="00B62CEA" w:rsidRDefault="005437BF" w14:paraId="7A4CD684" w14:textId="77777777">
      <w:pPr>
        <w:spacing w:after="0" w:line="259" w:lineRule="auto"/>
        <w:ind w:left="0" w:right="0" w:firstLine="0"/>
      </w:pPr>
      <w:r>
        <w:rPr>
          <w:b/>
          <w:sz w:val="22"/>
        </w:rPr>
        <w:t xml:space="preserve"> </w:t>
      </w:r>
    </w:p>
    <w:p w:rsidR="00B62CEA" w:rsidRDefault="005437BF" w14:paraId="70CE7106" w14:textId="77777777">
      <w:pPr>
        <w:spacing w:after="0" w:line="259" w:lineRule="auto"/>
        <w:ind w:left="0" w:right="0" w:firstLine="0"/>
      </w:pPr>
      <w:r>
        <w:rPr>
          <w:b/>
          <w:sz w:val="22"/>
        </w:rPr>
        <w:t xml:space="preserve"> </w:t>
      </w:r>
    </w:p>
    <w:p w:rsidR="00B62CEA" w:rsidRDefault="005437BF" w14:paraId="3AD2E2C0" w14:textId="77777777">
      <w:pPr>
        <w:spacing w:after="0" w:line="259" w:lineRule="auto"/>
        <w:ind w:left="0" w:right="0" w:firstLine="0"/>
      </w:pPr>
      <w:r>
        <w:rPr>
          <w:b/>
          <w:sz w:val="22"/>
        </w:rPr>
        <w:t xml:space="preserve"> </w:t>
      </w:r>
    </w:p>
    <w:p w:rsidR="00B62CEA" w:rsidRDefault="005437BF" w14:paraId="4751A50F" w14:textId="77777777">
      <w:pPr>
        <w:spacing w:after="0" w:line="259" w:lineRule="auto"/>
        <w:ind w:left="0" w:right="0" w:firstLine="0"/>
      </w:pPr>
      <w:r>
        <w:rPr>
          <w:b/>
          <w:sz w:val="22"/>
        </w:rPr>
        <w:t xml:space="preserve"> </w:t>
      </w:r>
    </w:p>
    <w:p w:rsidR="00B62CEA" w:rsidRDefault="005437BF" w14:paraId="22360AF7" w14:textId="77777777">
      <w:pPr>
        <w:spacing w:after="0" w:line="259" w:lineRule="auto"/>
        <w:ind w:left="0" w:right="0" w:firstLine="0"/>
      </w:pPr>
      <w:r>
        <w:rPr>
          <w:b/>
          <w:sz w:val="22"/>
        </w:rPr>
        <w:t xml:space="preserve"> </w:t>
      </w:r>
    </w:p>
    <w:p w:rsidR="00B62CEA" w:rsidRDefault="005437BF" w14:paraId="0E4F6965" w14:textId="159AF62B">
      <w:pPr>
        <w:spacing w:after="0" w:line="259" w:lineRule="auto"/>
        <w:ind w:left="-5" w:right="0" w:hanging="10"/>
      </w:pPr>
      <w:r>
        <w:rPr>
          <w:b/>
          <w:sz w:val="22"/>
        </w:rPr>
        <w:t xml:space="preserve">Summary:  </w:t>
      </w:r>
      <w:r w:rsidR="00857F5B">
        <w:rPr>
          <w:b/>
          <w:sz w:val="22"/>
        </w:rPr>
        <w:t>Reasonable Adjustments</w:t>
      </w:r>
      <w:r>
        <w:rPr>
          <w:b/>
          <w:sz w:val="22"/>
        </w:rPr>
        <w:t xml:space="preserve"> Procedure for students on Higher Education   </w:t>
      </w:r>
    </w:p>
    <w:p w:rsidR="00B62CEA" w:rsidRDefault="005437BF" w14:paraId="178AFBFF" w14:textId="77777777">
      <w:pPr>
        <w:spacing w:after="0" w:line="259" w:lineRule="auto"/>
        <w:ind w:left="-5" w:right="0" w:hanging="10"/>
      </w:pPr>
      <w:r>
        <w:rPr>
          <w:b/>
          <w:sz w:val="22"/>
        </w:rPr>
        <w:t xml:space="preserve">                    Programmes </w:t>
      </w:r>
    </w:p>
    <w:p w:rsidR="00B62CEA" w:rsidRDefault="005437BF" w14:paraId="49F210DF" w14:textId="77777777">
      <w:pPr>
        <w:spacing w:after="0" w:line="259" w:lineRule="auto"/>
        <w:ind w:left="0" w:right="0" w:firstLine="0"/>
      </w:pPr>
      <w:r>
        <w:rPr>
          <w:b/>
          <w:sz w:val="22"/>
        </w:rPr>
        <w:t xml:space="preserve"> </w:t>
      </w:r>
    </w:p>
    <w:p w:rsidR="00B62CEA" w:rsidRDefault="005437BF" w14:paraId="667E0D6E" w14:textId="77777777">
      <w:pPr>
        <w:spacing w:after="10" w:line="277" w:lineRule="auto"/>
        <w:ind w:left="-5" w:right="0" w:hanging="10"/>
      </w:pPr>
      <w:r>
        <w:rPr>
          <w:b/>
          <w:sz w:val="22"/>
        </w:rPr>
        <w:t xml:space="preserve">Accessibility: </w:t>
      </w:r>
      <w:r>
        <w:rPr>
          <w:sz w:val="22"/>
        </w:rPr>
        <w:t xml:space="preserve">If you would like this information in an alternative format, e.g. Easy to Read, large print, Braille or audio tape, or if you would like the procedure explained to you in your language, please contact the College’s marketing team on 01603 773 169. </w:t>
      </w:r>
    </w:p>
    <w:p w:rsidR="00B62CEA" w:rsidRDefault="005437BF" w14:paraId="0CD62DAD" w14:textId="77777777">
      <w:pPr>
        <w:spacing w:after="0" w:line="259" w:lineRule="auto"/>
        <w:ind w:left="0" w:right="0" w:firstLine="0"/>
      </w:pPr>
      <w:r>
        <w:rPr>
          <w:sz w:val="22"/>
        </w:rPr>
        <w:t xml:space="preserve"> </w:t>
      </w:r>
    </w:p>
    <w:p w:rsidR="00B62CEA" w:rsidRDefault="005437BF" w14:paraId="0FA2EADE" w14:textId="77777777">
      <w:pPr>
        <w:spacing w:after="184" w:line="277" w:lineRule="auto"/>
        <w:ind w:left="-5" w:right="0" w:hanging="10"/>
      </w:pPr>
      <w:r>
        <w:rPr>
          <w:b/>
          <w:sz w:val="22"/>
        </w:rPr>
        <w:t xml:space="preserve">Further information: </w:t>
      </w:r>
      <w:r>
        <w:rPr>
          <w:sz w:val="22"/>
        </w:rPr>
        <w:t xml:space="preserve">If you have any queries about this policy or procedure, please contact the named policy holder. </w:t>
      </w:r>
    </w:p>
    <w:p w:rsidR="00B62CEA" w:rsidRDefault="005437BF" w14:paraId="7818EFC8" w14:textId="77777777">
      <w:pPr>
        <w:spacing w:after="0" w:line="259" w:lineRule="auto"/>
        <w:ind w:left="0" w:right="0" w:firstLine="0"/>
        <w:jc w:val="right"/>
      </w:pPr>
      <w:r>
        <w:rPr>
          <w:noProof/>
        </w:rPr>
        <w:drawing>
          <wp:inline distT="0" distB="0" distL="0" distR="0" wp14:anchorId="1732829B" wp14:editId="07C93D4B">
            <wp:extent cx="5731511" cy="121793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5731511" cy="1217930"/>
                    </a:xfrm>
                    <a:prstGeom prst="rect">
                      <a:avLst/>
                    </a:prstGeom>
                  </pic:spPr>
                </pic:pic>
              </a:graphicData>
            </a:graphic>
          </wp:inline>
        </w:drawing>
      </w:r>
      <w:r>
        <w:rPr>
          <w:rFonts w:ascii="Cambria" w:hAnsi="Cambria" w:eastAsia="Cambria" w:cs="Cambria"/>
        </w:rPr>
        <w:t xml:space="preserve"> </w:t>
      </w:r>
    </w:p>
    <w:p w:rsidR="00B62CEA" w:rsidRDefault="005437BF" w14:paraId="6FB3C124" w14:textId="77777777">
      <w:pPr>
        <w:spacing w:after="427" w:line="259" w:lineRule="auto"/>
        <w:ind w:left="0" w:right="0" w:firstLine="0"/>
      </w:pPr>
      <w:r>
        <w:rPr>
          <w:rFonts w:ascii="Calibri" w:hAnsi="Calibri" w:eastAsia="Calibri" w:cs="Calibri"/>
          <w:sz w:val="22"/>
        </w:rPr>
        <w:t xml:space="preserve"> </w:t>
      </w:r>
    </w:p>
    <w:p w:rsidR="00B62CEA" w:rsidRDefault="005437BF" w14:paraId="5E057B16" w14:textId="77777777">
      <w:pPr>
        <w:spacing w:after="0" w:line="259" w:lineRule="auto"/>
        <w:ind w:left="130" w:right="0" w:hanging="10"/>
      </w:pPr>
      <w:r>
        <w:rPr>
          <w:b/>
          <w:sz w:val="22"/>
        </w:rPr>
        <w:t xml:space="preserve">Amendments log </w:t>
      </w:r>
    </w:p>
    <w:p w:rsidR="00B62CEA" w:rsidRDefault="005437BF" w14:paraId="134FE252" w14:textId="77777777">
      <w:pPr>
        <w:spacing w:after="0" w:line="259" w:lineRule="auto"/>
        <w:ind w:left="0" w:right="0" w:firstLine="0"/>
      </w:pPr>
      <w:r>
        <w:rPr>
          <w:b/>
          <w:sz w:val="22"/>
        </w:rPr>
        <w:t xml:space="preserve"> </w:t>
      </w:r>
    </w:p>
    <w:tbl>
      <w:tblPr>
        <w:tblStyle w:val="TableGrid1"/>
        <w:tblW w:w="8297" w:type="dxa"/>
        <w:tblInd w:w="135" w:type="dxa"/>
        <w:tblCellMar>
          <w:top w:w="22" w:type="dxa"/>
          <w:left w:w="113" w:type="dxa"/>
          <w:right w:w="23" w:type="dxa"/>
        </w:tblCellMar>
        <w:tblLook w:val="04A0" w:firstRow="1" w:lastRow="0" w:firstColumn="1" w:lastColumn="0" w:noHBand="0" w:noVBand="1"/>
      </w:tblPr>
      <w:tblGrid>
        <w:gridCol w:w="1735"/>
        <w:gridCol w:w="982"/>
        <w:gridCol w:w="2928"/>
        <w:gridCol w:w="1212"/>
        <w:gridCol w:w="1440"/>
      </w:tblGrid>
      <w:tr w:rsidR="00B62CEA" w:rsidTr="50084808" w14:paraId="365EB6F1" w14:textId="77777777">
        <w:trPr>
          <w:trHeight w:val="497"/>
        </w:trPr>
        <w:tc>
          <w:tcPr>
            <w:tcW w:w="1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7AAA29C5" w14:textId="77777777">
            <w:pPr>
              <w:spacing w:after="0" w:line="259" w:lineRule="auto"/>
              <w:ind w:left="0" w:right="0" w:firstLine="0"/>
            </w:pPr>
            <w:r>
              <w:rPr>
                <w:sz w:val="22"/>
              </w:rPr>
              <w:t xml:space="preserve">Review date </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6D115D6E" w14:textId="77777777">
            <w:pPr>
              <w:spacing w:after="0" w:line="259" w:lineRule="auto"/>
              <w:ind w:left="0" w:right="0" w:firstLine="0"/>
            </w:pPr>
            <w:r>
              <w:rPr>
                <w:sz w:val="22"/>
              </w:rPr>
              <w:t xml:space="preserve">Version </w:t>
            </w:r>
          </w:p>
        </w:tc>
        <w:tc>
          <w:tcPr>
            <w:tcW w:w="29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4E3A3055" w14:textId="77777777">
            <w:pPr>
              <w:spacing w:after="0" w:line="259" w:lineRule="auto"/>
              <w:ind w:left="0" w:right="0" w:firstLine="0"/>
            </w:pPr>
            <w:r>
              <w:rPr>
                <w:sz w:val="22"/>
              </w:rPr>
              <w:t xml:space="preserve">Changes </w:t>
            </w:r>
          </w:p>
        </w:tc>
        <w:tc>
          <w:tcPr>
            <w:tcW w:w="1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295D11F5" w14:textId="77777777">
            <w:pPr>
              <w:spacing w:after="0" w:line="259" w:lineRule="auto"/>
              <w:ind w:left="0" w:right="0" w:firstLine="0"/>
            </w:pPr>
            <w:r>
              <w:rPr>
                <w:sz w:val="22"/>
              </w:rPr>
              <w:t xml:space="preserve">Originated by </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7286BF1D" w14:textId="77777777">
            <w:pPr>
              <w:spacing w:after="0" w:line="259" w:lineRule="auto"/>
              <w:ind w:left="0" w:right="0" w:firstLine="0"/>
            </w:pPr>
            <w:r>
              <w:rPr>
                <w:sz w:val="22"/>
              </w:rPr>
              <w:t xml:space="preserve">Approval </w:t>
            </w:r>
          </w:p>
        </w:tc>
      </w:tr>
      <w:tr w:rsidR="00B62CEA" w:rsidTr="50084808" w14:paraId="1C0426BA" w14:textId="77777777">
        <w:trPr>
          <w:trHeight w:val="1963"/>
        </w:trPr>
        <w:tc>
          <w:tcPr>
            <w:tcW w:w="1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6A9D1BAE" w14:textId="77777777">
            <w:pPr>
              <w:spacing w:after="0" w:line="259" w:lineRule="auto"/>
              <w:ind w:left="0" w:right="0" w:firstLine="0"/>
            </w:pPr>
            <w:r>
              <w:rPr>
                <w:sz w:val="22"/>
              </w:rPr>
              <w:t xml:space="preserve">January 2017 </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283BE423" w14:textId="77777777">
            <w:pPr>
              <w:spacing w:after="0" w:line="259" w:lineRule="auto"/>
              <w:ind w:left="0" w:right="0" w:firstLine="0"/>
            </w:pPr>
            <w:r>
              <w:rPr>
                <w:sz w:val="22"/>
              </w:rPr>
              <w:t xml:space="preserve">9 </w:t>
            </w:r>
          </w:p>
        </w:tc>
        <w:tc>
          <w:tcPr>
            <w:tcW w:w="29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P="00A1131F" w:rsidRDefault="005437BF" w14:paraId="1CABEB35" w14:textId="77777777">
            <w:pPr>
              <w:spacing w:after="0" w:line="259" w:lineRule="auto"/>
              <w:ind w:left="0" w:right="0" w:firstLine="0"/>
            </w:pPr>
            <w:r>
              <w:rPr>
                <w:sz w:val="22"/>
              </w:rPr>
              <w:t xml:space="preserve">To reflect HE School structure changes </w:t>
            </w:r>
          </w:p>
        </w:tc>
        <w:tc>
          <w:tcPr>
            <w:tcW w:w="1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0A6B1797" w14:textId="77777777">
            <w:pPr>
              <w:spacing w:after="0" w:line="259" w:lineRule="auto"/>
              <w:ind w:left="0" w:right="0" w:firstLine="0"/>
            </w:pPr>
            <w:r>
              <w:rPr>
                <w:sz w:val="22"/>
              </w:rPr>
              <w:t xml:space="preserve">HE Office </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4974AC55" w14:textId="77777777">
            <w:pPr>
              <w:spacing w:after="0" w:line="259" w:lineRule="auto"/>
              <w:ind w:left="0" w:right="0" w:firstLine="0"/>
            </w:pPr>
            <w:r>
              <w:rPr>
                <w:sz w:val="22"/>
              </w:rPr>
              <w:t xml:space="preserve"> </w:t>
            </w:r>
          </w:p>
        </w:tc>
      </w:tr>
      <w:tr w:rsidR="00B62CEA" w:rsidTr="50084808" w14:paraId="6FAAC587" w14:textId="77777777">
        <w:trPr>
          <w:trHeight w:val="1349"/>
        </w:trPr>
        <w:tc>
          <w:tcPr>
            <w:tcW w:w="1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664E6BFC" w14:textId="77777777">
            <w:pPr>
              <w:spacing w:after="0" w:line="259" w:lineRule="auto"/>
              <w:ind w:left="0" w:right="0" w:firstLine="0"/>
            </w:pPr>
            <w:r>
              <w:rPr>
                <w:sz w:val="22"/>
              </w:rPr>
              <w:t xml:space="preserve">August 2021 </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69918826" w14:textId="77777777">
            <w:pPr>
              <w:spacing w:after="0" w:line="259" w:lineRule="auto"/>
              <w:ind w:left="0" w:right="0" w:firstLine="0"/>
            </w:pPr>
            <w:r>
              <w:rPr>
                <w:sz w:val="22"/>
              </w:rPr>
              <w:t xml:space="preserve">10 </w:t>
            </w:r>
          </w:p>
        </w:tc>
        <w:tc>
          <w:tcPr>
            <w:tcW w:w="29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0F20FF56" w14:textId="08BA4649">
            <w:pPr>
              <w:spacing w:after="0" w:line="259" w:lineRule="auto"/>
              <w:ind w:left="0" w:right="0" w:firstLine="0"/>
            </w:pPr>
            <w:r>
              <w:rPr>
                <w:sz w:val="22"/>
              </w:rPr>
              <w:t xml:space="preserve">To reflect separation of Mitigating Circumstances and Special Allowances Procedures, in light of regulatory alignment to </w:t>
            </w:r>
            <w:bookmarkStart w:name="_Int_xuypv9A3" w:id="1"/>
            <w:r>
              <w:rPr>
                <w:sz w:val="22"/>
              </w:rPr>
              <w:t>BIM</w:t>
            </w:r>
            <w:bookmarkEnd w:id="1"/>
            <w:r>
              <w:rPr>
                <w:sz w:val="22"/>
              </w:rPr>
              <w:t xml:space="preserve"> for new students </w:t>
            </w:r>
          </w:p>
        </w:tc>
        <w:tc>
          <w:tcPr>
            <w:tcW w:w="1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7FF03E6F" w14:textId="77777777">
            <w:pPr>
              <w:spacing w:after="0" w:line="259" w:lineRule="auto"/>
              <w:ind w:left="0" w:right="0" w:firstLine="0"/>
            </w:pPr>
            <w:r>
              <w:rPr>
                <w:sz w:val="22"/>
              </w:rPr>
              <w:t xml:space="preserve"> </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62CEA" w:rsidRDefault="005437BF" w14:paraId="3E98315E" w14:textId="77777777">
            <w:pPr>
              <w:spacing w:after="0" w:line="259" w:lineRule="auto"/>
              <w:ind w:left="0" w:right="0" w:firstLine="0"/>
            </w:pPr>
            <w:r>
              <w:rPr>
                <w:sz w:val="22"/>
              </w:rPr>
              <w:t xml:space="preserve"> </w:t>
            </w:r>
          </w:p>
        </w:tc>
      </w:tr>
      <w:tr w:rsidR="007B2B72" w:rsidTr="50084808" w14:paraId="209CF89E" w14:textId="77777777">
        <w:trPr>
          <w:trHeight w:val="1349"/>
        </w:trPr>
        <w:tc>
          <w:tcPr>
            <w:tcW w:w="1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B2B72" w:rsidRDefault="007B2B72" w14:paraId="316112DD" w14:textId="5523BF07">
            <w:pPr>
              <w:spacing w:after="0" w:line="259" w:lineRule="auto"/>
              <w:ind w:left="0" w:right="0" w:firstLine="0"/>
              <w:rPr>
                <w:sz w:val="22"/>
              </w:rPr>
            </w:pPr>
            <w:r>
              <w:rPr>
                <w:sz w:val="22"/>
              </w:rPr>
              <w:t>August 2022</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B2B72" w:rsidRDefault="007B2B72" w14:paraId="741D754F" w14:textId="3C6E9123">
            <w:pPr>
              <w:spacing w:after="0" w:line="259" w:lineRule="auto"/>
              <w:ind w:left="0" w:right="0" w:firstLine="0"/>
              <w:rPr>
                <w:sz w:val="22"/>
              </w:rPr>
            </w:pPr>
            <w:r>
              <w:rPr>
                <w:sz w:val="22"/>
              </w:rPr>
              <w:t>11</w:t>
            </w:r>
          </w:p>
        </w:tc>
        <w:tc>
          <w:tcPr>
            <w:tcW w:w="29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B2B72" w:rsidP="50084808" w:rsidRDefault="2BB975F7" w14:paraId="292A4D6A" w14:textId="30B7EDB7">
            <w:pPr>
              <w:spacing w:after="0" w:line="259" w:lineRule="auto"/>
              <w:ind w:left="0" w:right="0" w:firstLine="0"/>
              <w:rPr>
                <w:sz w:val="22"/>
              </w:rPr>
            </w:pPr>
            <w:r w:rsidRPr="50084808">
              <w:rPr>
                <w:sz w:val="22"/>
              </w:rPr>
              <w:t>To rename this procedure</w:t>
            </w:r>
            <w:r w:rsidRPr="50084808" w:rsidR="6086629A">
              <w:rPr>
                <w:sz w:val="22"/>
              </w:rPr>
              <w:t xml:space="preserve"> </w:t>
            </w:r>
            <w:r w:rsidRPr="50084808">
              <w:rPr>
                <w:sz w:val="22"/>
              </w:rPr>
              <w:t>Reasonable Adjustments</w:t>
            </w:r>
            <w:r w:rsidRPr="50084808" w:rsidR="109F4E2E">
              <w:rPr>
                <w:sz w:val="22"/>
              </w:rPr>
              <w:t>, &amp;</w:t>
            </w:r>
            <w:r w:rsidRPr="50084808" w:rsidR="6086629A">
              <w:rPr>
                <w:sz w:val="22"/>
              </w:rPr>
              <w:t xml:space="preserve"> </w:t>
            </w:r>
            <w:r w:rsidRPr="50084808" w:rsidR="61D9AE41">
              <w:rPr>
                <w:sz w:val="22"/>
              </w:rPr>
              <w:t>highlight use of MS Forms</w:t>
            </w:r>
            <w:r w:rsidRPr="50084808" w:rsidR="6086629A">
              <w:rPr>
                <w:sz w:val="22"/>
              </w:rPr>
              <w:t xml:space="preserve"> for </w:t>
            </w:r>
            <w:r w:rsidRPr="50084808" w:rsidR="109F4E2E">
              <w:rPr>
                <w:sz w:val="22"/>
              </w:rPr>
              <w:t xml:space="preserve">the </w:t>
            </w:r>
            <w:r w:rsidRPr="50084808" w:rsidR="6086629A">
              <w:rPr>
                <w:sz w:val="22"/>
              </w:rPr>
              <w:t xml:space="preserve">new academic </w:t>
            </w:r>
            <w:r w:rsidRPr="50084808" w:rsidR="001D135E">
              <w:rPr>
                <w:sz w:val="22"/>
              </w:rPr>
              <w:t>year</w:t>
            </w:r>
            <w:r w:rsidR="001D135E">
              <w:rPr>
                <w:sz w:val="22"/>
              </w:rPr>
              <w:t>,</w:t>
            </w:r>
            <w:r w:rsidRPr="0047022D" w:rsidR="0047022D">
              <w:rPr>
                <w:sz w:val="22"/>
              </w:rPr>
              <w:t xml:space="preserve"> as a replacement of current MS Word forms</w:t>
            </w:r>
            <w:r w:rsidRPr="50084808">
              <w:rPr>
                <w:sz w:val="22"/>
              </w:rPr>
              <w:t xml:space="preserve"> </w:t>
            </w:r>
          </w:p>
        </w:tc>
        <w:tc>
          <w:tcPr>
            <w:tcW w:w="1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B2B72" w:rsidRDefault="007B2B72" w14:paraId="56E89CC5" w14:textId="77777777">
            <w:pPr>
              <w:spacing w:after="0" w:line="259" w:lineRule="auto"/>
              <w:ind w:left="0" w:right="0" w:firstLine="0"/>
              <w:rPr>
                <w:sz w:val="22"/>
              </w:rPr>
            </w:pP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B2B72" w:rsidRDefault="007B2B72" w14:paraId="34D3136C" w14:textId="77777777">
            <w:pPr>
              <w:spacing w:after="0" w:line="259" w:lineRule="auto"/>
              <w:ind w:left="0" w:right="0" w:firstLine="0"/>
              <w:rPr>
                <w:sz w:val="22"/>
              </w:rPr>
            </w:pPr>
          </w:p>
        </w:tc>
      </w:tr>
    </w:tbl>
    <w:p w:rsidR="00B62CEA" w:rsidRDefault="005437BF" w14:paraId="0568B8D8" w14:textId="77777777">
      <w:pPr>
        <w:spacing w:after="0" w:line="259" w:lineRule="auto"/>
        <w:ind w:left="0" w:right="0" w:firstLine="0"/>
      </w:pPr>
      <w:r>
        <w:rPr>
          <w:sz w:val="22"/>
        </w:rPr>
        <w:t xml:space="preserve">  </w:t>
      </w:r>
    </w:p>
    <w:p w:rsidR="00B62CEA" w:rsidRDefault="005437BF" w14:paraId="1D87E00E" w14:textId="77777777">
      <w:pPr>
        <w:spacing w:after="0" w:line="259" w:lineRule="auto"/>
        <w:ind w:left="0" w:right="0" w:firstLine="0"/>
        <w:jc w:val="both"/>
      </w:pPr>
      <w:r>
        <w:rPr>
          <w:sz w:val="22"/>
        </w:rPr>
        <w:t xml:space="preserve"> </w:t>
      </w:r>
      <w:r>
        <w:rPr>
          <w:sz w:val="22"/>
        </w:rPr>
        <w:tab/>
      </w:r>
      <w:r>
        <w:rPr>
          <w:sz w:val="22"/>
        </w:rPr>
        <w:t xml:space="preserve"> </w:t>
      </w:r>
      <w:r>
        <w:br w:type="page"/>
      </w:r>
    </w:p>
    <w:p w:rsidR="00B62CEA" w:rsidRDefault="005437BF" w14:paraId="00AB4BA9" w14:textId="77777777">
      <w:pPr>
        <w:spacing w:after="469" w:line="259" w:lineRule="auto"/>
        <w:ind w:left="451" w:right="0" w:firstLine="0"/>
      </w:pPr>
      <w:r>
        <w:rPr>
          <w:rFonts w:ascii="Calibri" w:hAnsi="Calibri" w:eastAsia="Calibri" w:cs="Calibri"/>
          <w:sz w:val="22"/>
        </w:rPr>
        <w:t xml:space="preserve"> </w:t>
      </w:r>
    </w:p>
    <w:p w:rsidR="00B62CEA" w:rsidRDefault="005437BF" w14:paraId="46824C50" w14:textId="77777777">
      <w:pPr>
        <w:numPr>
          <w:ilvl w:val="0"/>
          <w:numId w:val="1"/>
        </w:numPr>
        <w:spacing w:after="31"/>
        <w:ind w:right="0" w:hanging="720"/>
      </w:pPr>
      <w:r>
        <w:rPr>
          <w:b/>
        </w:rPr>
        <w:t xml:space="preserve">Purpose and Scope </w:t>
      </w:r>
    </w:p>
    <w:p w:rsidR="00B62CEA" w:rsidRDefault="005437BF" w14:paraId="0FB68291" w14:textId="77777777">
      <w:pPr>
        <w:spacing w:after="0" w:line="259" w:lineRule="auto"/>
        <w:ind w:left="0" w:right="0" w:firstLine="0"/>
      </w:pPr>
      <w:r>
        <w:rPr>
          <w:rFonts w:ascii="Cambria" w:hAnsi="Cambria" w:eastAsia="Cambria" w:cs="Cambria"/>
          <w:sz w:val="26"/>
        </w:rPr>
        <w:t xml:space="preserve"> </w:t>
      </w:r>
    </w:p>
    <w:p w:rsidR="00B62CEA" w:rsidRDefault="005437BF" w14:paraId="67BBAA06" w14:textId="74E281E5">
      <w:pPr>
        <w:numPr>
          <w:ilvl w:val="1"/>
          <w:numId w:val="1"/>
        </w:numPr>
        <w:ind w:left="1269" w:right="144"/>
      </w:pPr>
      <w:r>
        <w:t xml:space="preserve">The purpose of the </w:t>
      </w:r>
      <w:r w:rsidR="00857F5B">
        <w:t>Reasonable Adjustments</w:t>
      </w:r>
      <w:r>
        <w:t xml:space="preserve"> procedure is to enable appropriate arrangements to be put in place to support students with known, diagnosed disadvantages in order that they may nevertheless be assessed fairly, without advantage or disadvantage compared with other students.   </w:t>
      </w:r>
    </w:p>
    <w:p w:rsidR="00B62CEA" w:rsidRDefault="005437BF" w14:paraId="25768E9C" w14:textId="77777777">
      <w:pPr>
        <w:spacing w:after="0" w:line="259" w:lineRule="auto"/>
        <w:ind w:left="0" w:right="0" w:firstLine="0"/>
      </w:pPr>
      <w:r>
        <w:rPr>
          <w:rFonts w:ascii="Cambria" w:hAnsi="Cambria" w:eastAsia="Cambria" w:cs="Cambria"/>
          <w:sz w:val="26"/>
        </w:rPr>
        <w:t xml:space="preserve"> </w:t>
      </w:r>
    </w:p>
    <w:p w:rsidR="00B62CEA" w:rsidRDefault="005437BF" w14:paraId="5049B5C3" w14:textId="77777777">
      <w:pPr>
        <w:numPr>
          <w:ilvl w:val="1"/>
          <w:numId w:val="1"/>
        </w:numPr>
        <w:ind w:left="1269" w:right="144"/>
      </w:pPr>
      <w:r>
        <w:t xml:space="preserve">The procedures apply to all programmes governed by either the Norfolk </w:t>
      </w:r>
    </w:p>
    <w:p w:rsidR="00B62CEA" w:rsidP="00A17AC9" w:rsidRDefault="005437BF" w14:paraId="37454FC3" w14:textId="103757B3">
      <w:pPr>
        <w:ind w:left="1269" w:right="144" w:firstLine="0"/>
      </w:pPr>
      <w:r>
        <w:t xml:space="preserve">Regulatory </w:t>
      </w:r>
      <w:r w:rsidR="00857F5B">
        <w:t xml:space="preserve">Framework or the </w:t>
      </w:r>
      <w:bookmarkStart w:name="_Int_y3SYlX9j" w:id="2"/>
      <w:r w:rsidR="00857F5B">
        <w:t>UEA</w:t>
      </w:r>
      <w:bookmarkEnd w:id="2"/>
      <w:r w:rsidR="00857F5B">
        <w:t xml:space="preserve"> PI Regulations for Bachelor and Foundation Degree Awards.</w:t>
      </w:r>
      <w:r>
        <w:t xml:space="preserve"> </w:t>
      </w:r>
    </w:p>
    <w:p w:rsidR="00857F5B" w:rsidP="00857F5B" w:rsidRDefault="00857F5B" w14:paraId="7E9F60C7" w14:textId="77777777">
      <w:pPr>
        <w:ind w:left="1276" w:right="144" w:firstLine="0"/>
      </w:pPr>
    </w:p>
    <w:p w:rsidR="00B62CEA" w:rsidRDefault="005437BF" w14:paraId="7911CDC5" w14:textId="77777777">
      <w:pPr>
        <w:spacing w:after="0" w:line="259" w:lineRule="auto"/>
        <w:ind w:left="0" w:right="0" w:firstLine="0"/>
      </w:pPr>
      <w:r>
        <w:rPr>
          <w:rFonts w:ascii="Cambria" w:hAnsi="Cambria" w:eastAsia="Cambria" w:cs="Cambria"/>
          <w:sz w:val="26"/>
        </w:rPr>
        <w:t xml:space="preserve"> </w:t>
      </w:r>
    </w:p>
    <w:p w:rsidR="00B62CEA" w:rsidRDefault="005437BF" w14:paraId="3B0FE7EB" w14:textId="77777777">
      <w:pPr>
        <w:numPr>
          <w:ilvl w:val="1"/>
          <w:numId w:val="1"/>
        </w:numPr>
        <w:ind w:left="1269" w:right="144"/>
      </w:pPr>
      <w:r>
        <w:t xml:space="preserve">This document will be published on: Blackboard – HE@ </w:t>
      </w:r>
      <w:bookmarkStart w:name="_Int_L8PhEwDv" w:id="3"/>
      <w:r>
        <w:t>CCN</w:t>
      </w:r>
      <w:bookmarkEnd w:id="3"/>
      <w:r>
        <w:t xml:space="preserve"> – Regulations, Policies &amp; Procedures. </w:t>
      </w:r>
    </w:p>
    <w:p w:rsidR="00B62CEA" w:rsidRDefault="005437BF" w14:paraId="6C40E4D5" w14:textId="77777777">
      <w:pPr>
        <w:spacing w:after="184" w:line="259" w:lineRule="auto"/>
        <w:ind w:left="0" w:right="0" w:firstLine="0"/>
      </w:pPr>
      <w:r>
        <w:rPr>
          <w:rFonts w:ascii="Cambria" w:hAnsi="Cambria" w:eastAsia="Cambria" w:cs="Cambria"/>
          <w:sz w:val="28"/>
        </w:rPr>
        <w:t xml:space="preserve"> </w:t>
      </w:r>
    </w:p>
    <w:p w:rsidR="00B62CEA" w:rsidRDefault="005437BF" w14:paraId="10979DA4" w14:textId="362C14EB">
      <w:pPr>
        <w:numPr>
          <w:ilvl w:val="0"/>
          <w:numId w:val="1"/>
        </w:numPr>
        <w:spacing w:after="31"/>
        <w:ind w:right="0" w:hanging="720"/>
      </w:pPr>
      <w:r>
        <w:rPr>
          <w:b/>
        </w:rPr>
        <w:t xml:space="preserve">General Regulations – </w:t>
      </w:r>
      <w:r w:rsidR="00857F5B">
        <w:rPr>
          <w:b/>
        </w:rPr>
        <w:t>Reasonable Adjustments</w:t>
      </w:r>
      <w:r>
        <w:rPr>
          <w:b/>
        </w:rPr>
        <w:t xml:space="preserve"> </w:t>
      </w:r>
    </w:p>
    <w:p w:rsidR="00B62CEA" w:rsidRDefault="005437BF" w14:paraId="2387638A" w14:textId="77777777">
      <w:pPr>
        <w:spacing w:after="0" w:line="259" w:lineRule="auto"/>
        <w:ind w:left="0" w:right="0" w:firstLine="0"/>
      </w:pPr>
      <w:r>
        <w:rPr>
          <w:rFonts w:ascii="Cambria" w:hAnsi="Cambria" w:eastAsia="Cambria" w:cs="Cambria"/>
          <w:sz w:val="26"/>
        </w:rPr>
        <w:t xml:space="preserve"> </w:t>
      </w:r>
    </w:p>
    <w:p w:rsidR="00B62CEA" w:rsidRDefault="005437BF" w14:paraId="1C025923" w14:textId="542B3943">
      <w:pPr>
        <w:numPr>
          <w:ilvl w:val="1"/>
          <w:numId w:val="1"/>
        </w:numPr>
        <w:ind w:left="1269" w:right="144"/>
      </w:pPr>
      <w:r>
        <w:t xml:space="preserve">It is the responsibility of the student to invoke the </w:t>
      </w:r>
      <w:r w:rsidR="00857F5B">
        <w:t>Reasonable Adjustments</w:t>
      </w:r>
      <w:r>
        <w:t xml:space="preserve"> Procedure if they feel that it is justified. </w:t>
      </w:r>
    </w:p>
    <w:p w:rsidR="00B62CEA" w:rsidRDefault="005437BF" w14:paraId="21224971" w14:textId="77777777">
      <w:pPr>
        <w:spacing w:after="0" w:line="259" w:lineRule="auto"/>
        <w:ind w:left="0" w:right="0" w:firstLine="0"/>
      </w:pPr>
      <w:r>
        <w:rPr>
          <w:rFonts w:ascii="Cambria" w:hAnsi="Cambria" w:eastAsia="Cambria" w:cs="Cambria"/>
          <w:sz w:val="26"/>
        </w:rPr>
        <w:t xml:space="preserve"> </w:t>
      </w:r>
    </w:p>
    <w:p w:rsidR="00B62CEA" w:rsidRDefault="005437BF" w14:paraId="3B683098" w14:textId="19409A88">
      <w:pPr>
        <w:numPr>
          <w:ilvl w:val="1"/>
          <w:numId w:val="1"/>
        </w:numPr>
        <w:ind w:left="1269" w:right="144"/>
      </w:pPr>
      <w:r>
        <w:t xml:space="preserve">Requests for </w:t>
      </w:r>
      <w:r w:rsidR="003877A2">
        <w:t>r</w:t>
      </w:r>
      <w:r w:rsidR="00857F5B">
        <w:t xml:space="preserve">easonable </w:t>
      </w:r>
      <w:r w:rsidR="003877A2">
        <w:t>a</w:t>
      </w:r>
      <w:r w:rsidR="00857F5B">
        <w:t>djustments</w:t>
      </w:r>
      <w:r>
        <w:t xml:space="preserve"> will only be considered if they are made on the appropriate claim forms available from Blackboard, signed by the claimant and submitted with appropriate evidence. Email or other electronic submission is not normally acceptable. </w:t>
      </w:r>
    </w:p>
    <w:p w:rsidR="00B62CEA" w:rsidRDefault="005437BF" w14:paraId="271D0811" w14:textId="77777777">
      <w:pPr>
        <w:spacing w:after="273" w:line="259" w:lineRule="auto"/>
        <w:ind w:left="0" w:right="0" w:firstLine="0"/>
      </w:pPr>
      <w:r>
        <w:rPr>
          <w:rFonts w:ascii="Cambria" w:hAnsi="Cambria" w:eastAsia="Cambria" w:cs="Cambria"/>
          <w:sz w:val="20"/>
        </w:rPr>
        <w:t xml:space="preserve"> </w:t>
      </w:r>
    </w:p>
    <w:p w:rsidR="00B62CEA" w:rsidRDefault="00857F5B" w14:paraId="1FCB4DA4" w14:textId="5E75090E">
      <w:pPr>
        <w:numPr>
          <w:ilvl w:val="0"/>
          <w:numId w:val="1"/>
        </w:numPr>
        <w:spacing w:after="31"/>
        <w:ind w:right="0" w:hanging="720"/>
      </w:pPr>
      <w:r>
        <w:rPr>
          <w:b/>
        </w:rPr>
        <w:t>Reasonable Adjustments</w:t>
      </w:r>
      <w:r w:rsidR="005437BF">
        <w:rPr>
          <w:b/>
        </w:rPr>
        <w:t xml:space="preserve"> </w:t>
      </w:r>
    </w:p>
    <w:p w:rsidR="00B62CEA" w:rsidRDefault="005437BF" w14:paraId="556E61C5" w14:textId="77777777">
      <w:pPr>
        <w:spacing w:after="0" w:line="259" w:lineRule="auto"/>
        <w:ind w:left="0" w:right="0" w:firstLine="0"/>
      </w:pPr>
      <w:r>
        <w:rPr>
          <w:rFonts w:ascii="Cambria" w:hAnsi="Cambria" w:eastAsia="Cambria" w:cs="Cambria"/>
          <w:sz w:val="26"/>
        </w:rPr>
        <w:t xml:space="preserve"> </w:t>
      </w:r>
    </w:p>
    <w:p w:rsidR="00B62CEA" w:rsidRDefault="6A024BDD" w14:paraId="06A9B091" w14:textId="1707D121" w14:noSpellErr="1">
      <w:pPr>
        <w:numPr>
          <w:ilvl w:val="1"/>
          <w:numId w:val="1"/>
        </w:numPr>
        <w:ind w:left="1269" w:right="144"/>
        <w:rPr/>
      </w:pPr>
      <w:r w:rsidR="6A024BDD">
        <w:rPr/>
        <w:t xml:space="preserve">A student who believes that their studies are being affected by recurrent or continuing adverse circumstances should inform the </w:t>
      </w:r>
      <w:r w:rsidR="014210EF">
        <w:rPr/>
        <w:t xml:space="preserve">Course team or </w:t>
      </w:r>
      <w:r w:rsidR="5D6854E2">
        <w:rPr/>
        <w:t>H</w:t>
      </w:r>
      <w:r w:rsidR="009B0FCA">
        <w:rPr/>
        <w:t>i</w:t>
      </w:r>
      <w:r w:rsidR="5D6854E2">
        <w:rPr/>
        <w:t>gher Education Delivery Manager</w:t>
      </w:r>
      <w:r w:rsidR="19570477">
        <w:rPr/>
        <w:t xml:space="preserve"> (HEDM)</w:t>
      </w:r>
      <w:r w:rsidR="6A024BDD">
        <w:rPr/>
        <w:t xml:space="preserve">/Programme Manager of their course at the earliest opportunity and present a claim using the </w:t>
      </w:r>
      <w:r w:rsidR="109F4E2E">
        <w:rPr/>
        <w:t>Reasonable Adjustments</w:t>
      </w:r>
      <w:r w:rsidR="6A024BDD">
        <w:rPr/>
        <w:t xml:space="preserve"> claim form (which is now available as a Microsoft Form). </w:t>
      </w:r>
    </w:p>
    <w:p w:rsidR="00B62CEA" w:rsidRDefault="005437BF" w14:paraId="36E750AA" w14:textId="77777777">
      <w:pPr>
        <w:spacing w:after="0" w:line="259" w:lineRule="auto"/>
        <w:ind w:left="0" w:right="0" w:firstLine="0"/>
      </w:pPr>
      <w:r>
        <w:rPr>
          <w:rFonts w:ascii="Cambria" w:hAnsi="Cambria" w:eastAsia="Cambria" w:cs="Cambria"/>
          <w:sz w:val="26"/>
        </w:rPr>
        <w:t xml:space="preserve"> </w:t>
      </w:r>
    </w:p>
    <w:p w:rsidR="00B62CEA" w:rsidRDefault="005437BF" w14:paraId="630E671E" w14:textId="74A54D3D" w14:noSpellErr="1">
      <w:pPr>
        <w:numPr>
          <w:ilvl w:val="1"/>
          <w:numId w:val="1"/>
        </w:numPr>
        <w:ind w:left="1269" w:right="144"/>
        <w:rPr/>
      </w:pPr>
      <w:r w:rsidR="005437BF">
        <w:rPr/>
        <w:t xml:space="preserve">The student should attach </w:t>
      </w:r>
      <w:r w:rsidR="2DE84692">
        <w:rPr/>
        <w:t>3</w:t>
      </w:r>
      <w:r w:rsidRPr="061F20EF" w:rsidR="2DE84692">
        <w:rPr>
          <w:vertAlign w:val="superscript"/>
        </w:rPr>
        <w:t>rd</w:t>
      </w:r>
      <w:r w:rsidR="2DE84692">
        <w:rPr/>
        <w:t xml:space="preserve"> party </w:t>
      </w:r>
      <w:r w:rsidR="005437BF">
        <w:rPr/>
        <w:t xml:space="preserve">documentary evidence in support of their claim. </w:t>
      </w:r>
    </w:p>
    <w:p w:rsidR="00B62CEA" w:rsidRDefault="005437BF" w14:paraId="3A96D02D" w14:textId="77777777">
      <w:pPr>
        <w:spacing w:after="0" w:line="259" w:lineRule="auto"/>
        <w:ind w:left="0" w:right="0" w:firstLine="0"/>
      </w:pPr>
      <w:r>
        <w:rPr>
          <w:rFonts w:ascii="Cambria" w:hAnsi="Cambria" w:eastAsia="Cambria" w:cs="Cambria"/>
          <w:sz w:val="26"/>
        </w:rPr>
        <w:t xml:space="preserve"> </w:t>
      </w:r>
    </w:p>
    <w:p w:rsidR="00B62CEA" w:rsidRDefault="00857F5B" w14:paraId="46BD25DD" w14:textId="7063CD25">
      <w:pPr>
        <w:numPr>
          <w:ilvl w:val="1"/>
          <w:numId w:val="1"/>
        </w:numPr>
        <w:ind w:left="1269" w:right="144"/>
      </w:pPr>
      <w:r>
        <w:t xml:space="preserve">Reasonable </w:t>
      </w:r>
      <w:r w:rsidR="003877A2">
        <w:t>a</w:t>
      </w:r>
      <w:r>
        <w:t>djustment</w:t>
      </w:r>
      <w:r w:rsidR="005437BF">
        <w:t xml:space="preserve"> is available to afford fairness to all students. It does not allow for leniency in marking and the work should be marked to the same marking scheme and standards as for other students being assessed. However, where students are formally diagnosed with a Specific Learning Difficulty (SpLD) then markers should not unduly penalise spelling, punctuation and grammar as long as the content and meaning is clear. </w:t>
      </w:r>
    </w:p>
    <w:p w:rsidR="00B62CEA" w:rsidRDefault="005437BF" w14:paraId="61626F1E" w14:textId="77777777">
      <w:pPr>
        <w:spacing w:after="0" w:line="259" w:lineRule="auto"/>
        <w:ind w:left="0" w:right="0" w:firstLine="0"/>
      </w:pPr>
      <w:r>
        <w:rPr>
          <w:rFonts w:ascii="Cambria" w:hAnsi="Cambria" w:eastAsia="Cambria" w:cs="Cambria"/>
          <w:sz w:val="26"/>
        </w:rPr>
        <w:t xml:space="preserve"> </w:t>
      </w:r>
    </w:p>
    <w:p w:rsidR="00B62CEA" w:rsidRDefault="005437BF" w14:paraId="184DB7F4" w14:textId="77777777">
      <w:pPr>
        <w:numPr>
          <w:ilvl w:val="1"/>
          <w:numId w:val="1"/>
        </w:numPr>
        <w:ind w:left="1269" w:right="144"/>
      </w:pPr>
      <w:r>
        <w:t xml:space="preserve">The request should be made as early as possible to allow sufficient time for any special arrangements required to be put in place. </w:t>
      </w:r>
    </w:p>
    <w:p w:rsidR="00B62CEA" w:rsidRDefault="005437BF" w14:paraId="7896CE40" w14:textId="77777777">
      <w:pPr>
        <w:spacing w:after="52" w:line="259" w:lineRule="auto"/>
        <w:ind w:left="0" w:right="0" w:firstLine="0"/>
      </w:pPr>
      <w:r>
        <w:rPr>
          <w:rFonts w:ascii="Cambria" w:hAnsi="Cambria" w:eastAsia="Cambria" w:cs="Cambria"/>
          <w:sz w:val="16"/>
        </w:rPr>
        <w:t xml:space="preserve"> </w:t>
      </w:r>
    </w:p>
    <w:p w:rsidR="00B62CEA" w:rsidRDefault="005437BF" w14:paraId="4C735972" w14:textId="03F5C065">
      <w:pPr>
        <w:spacing w:after="0"/>
        <w:ind w:left="1256" w:right="0" w:hanging="10"/>
      </w:pPr>
      <w:r>
        <w:rPr>
          <w:b/>
        </w:rPr>
        <w:t xml:space="preserve">Ideally, the completed claim form along with accompanying evidence should be submitted to the </w:t>
      </w:r>
      <w:r w:rsidR="00D40BA5">
        <w:rPr>
          <w:b/>
        </w:rPr>
        <w:t>HE Office team</w:t>
      </w:r>
      <w:r>
        <w:rPr>
          <w:b/>
        </w:rPr>
        <w:t xml:space="preserve"> at least six weeks before the date of any assessment for which an allowance is requested and preferably at, or before, the start of the programme of study.</w:t>
      </w:r>
      <w:r>
        <w:t xml:space="preserve"> </w:t>
      </w:r>
    </w:p>
    <w:p w:rsidR="00B62CEA" w:rsidRDefault="005437BF" w14:paraId="003B4F59" w14:textId="77777777">
      <w:pPr>
        <w:spacing w:after="0" w:line="259" w:lineRule="auto"/>
        <w:ind w:left="0" w:right="0" w:firstLine="0"/>
      </w:pPr>
      <w:r>
        <w:rPr>
          <w:rFonts w:ascii="Cambria" w:hAnsi="Cambria" w:eastAsia="Cambria" w:cs="Cambria"/>
          <w:sz w:val="26"/>
        </w:rPr>
        <w:t xml:space="preserve"> </w:t>
      </w:r>
    </w:p>
    <w:p w:rsidR="00B62CEA" w:rsidRDefault="005437BF" w14:paraId="7E5FB024" w14:textId="05E282B1">
      <w:pPr>
        <w:numPr>
          <w:ilvl w:val="1"/>
          <w:numId w:val="1"/>
        </w:numPr>
        <w:ind w:left="1269" w:right="144"/>
      </w:pPr>
      <w:r>
        <w:t xml:space="preserve">Claims for admission to the </w:t>
      </w:r>
      <w:r w:rsidR="00857F5B">
        <w:t>Reasonable Adjustments</w:t>
      </w:r>
      <w:r>
        <w:t xml:space="preserve"> Register will be considered by the Head of Higher Education who will consult academic and specialist colleagues, where necessary, before making a decision. </w:t>
      </w:r>
    </w:p>
    <w:p w:rsidR="00B62CEA" w:rsidRDefault="005437BF" w14:paraId="37F558BB" w14:textId="77777777">
      <w:pPr>
        <w:spacing w:after="0" w:line="259" w:lineRule="auto"/>
        <w:ind w:left="0" w:right="0" w:firstLine="0"/>
      </w:pPr>
      <w:r>
        <w:rPr>
          <w:rFonts w:ascii="Cambria" w:hAnsi="Cambria" w:eastAsia="Cambria" w:cs="Cambria"/>
          <w:sz w:val="26"/>
        </w:rPr>
        <w:t xml:space="preserve"> </w:t>
      </w:r>
    </w:p>
    <w:p w:rsidR="00B62CEA" w:rsidRDefault="005437BF" w14:paraId="5A59C557" w14:textId="68DB4DB8">
      <w:pPr>
        <w:numPr>
          <w:ilvl w:val="1"/>
          <w:numId w:val="1"/>
        </w:numPr>
        <w:ind w:left="1269" w:right="144"/>
      </w:pPr>
      <w:r>
        <w:t xml:space="preserve">The Head of </w:t>
      </w:r>
      <w:r w:rsidR="00857F5B">
        <w:t>Higher Education</w:t>
      </w:r>
      <w:r>
        <w:t xml:space="preserve"> is not restricted in the variety of </w:t>
      </w:r>
      <w:r w:rsidR="00857F5B">
        <w:t>reasonable adjustments</w:t>
      </w:r>
      <w:r>
        <w:t xml:space="preserve"> that can be made, but the following are likely to be the most usual: </w:t>
      </w:r>
    </w:p>
    <w:p w:rsidR="00B62CEA" w:rsidP="00355835" w:rsidRDefault="00B62CEA" w14:paraId="7DBC643A" w14:textId="0100F6DB">
      <w:pPr>
        <w:spacing w:after="0" w:line="259" w:lineRule="auto"/>
        <w:ind w:left="0" w:right="0" w:firstLine="0"/>
      </w:pPr>
    </w:p>
    <w:p w:rsidR="00B62CEA" w:rsidP="00E36043" w:rsidRDefault="005437BF" w14:paraId="3F5E1096" w14:textId="43687C61">
      <w:pPr>
        <w:numPr>
          <w:ilvl w:val="2"/>
          <w:numId w:val="2"/>
        </w:numPr>
        <w:ind w:right="144"/>
      </w:pPr>
      <w:r>
        <w:t xml:space="preserve">SpLD “Pink Sheet” </w:t>
      </w:r>
      <w:r w:rsidR="13F1A1F9">
        <w:t xml:space="preserve">where markers should not unduly penalise spelling, punctuation and grammar </w:t>
      </w:r>
      <w:proofErr w:type="gramStart"/>
      <w:r w:rsidR="13F1A1F9">
        <w:t>as long as</w:t>
      </w:r>
      <w:proofErr w:type="gramEnd"/>
      <w:r w:rsidR="13F1A1F9">
        <w:t xml:space="preserve"> the content and meaning is clear</w:t>
      </w:r>
    </w:p>
    <w:p w:rsidR="00B62CEA" w:rsidP="00DA7899" w:rsidRDefault="005437BF" w14:paraId="16AF2CBA" w14:textId="40A86511" w14:noSpellErr="1">
      <w:pPr>
        <w:numPr>
          <w:ilvl w:val="2"/>
          <w:numId w:val="2"/>
        </w:numPr>
        <w:ind w:right="144"/>
        <w:rPr/>
      </w:pPr>
      <w:r w:rsidR="005437BF">
        <w:rPr/>
        <w:t xml:space="preserve">Flexible hand-in dates for assessments </w:t>
      </w:r>
      <w:r w:rsidR="0E0F3DB7">
        <w:rPr/>
        <w:t>(normally up to two extra weeks to be av</w:t>
      </w:r>
      <w:r w:rsidR="00A17AC9">
        <w:rPr/>
        <w:t>a</w:t>
      </w:r>
      <w:r w:rsidR="0E0F3DB7">
        <w:rPr/>
        <w:t>ilable).</w:t>
      </w:r>
    </w:p>
    <w:p w:rsidR="00DA7899" w:rsidP="00355835" w:rsidRDefault="005437BF" w14:paraId="12515AB4" w14:textId="6F7A722A">
      <w:pPr>
        <w:numPr>
          <w:ilvl w:val="2"/>
          <w:numId w:val="2"/>
        </w:numPr>
        <w:ind w:right="144"/>
      </w:pPr>
      <w:r>
        <w:t>Extra time in exams</w:t>
      </w:r>
      <w:r w:rsidR="464D8C84">
        <w:t xml:space="preserve"> (normally up to 25% extra time)</w:t>
      </w:r>
      <w:r>
        <w:tab/>
      </w:r>
    </w:p>
    <w:p w:rsidR="2FDBC2C1" w:rsidP="5255A0A3" w:rsidRDefault="2FDBC2C1" w14:paraId="5D84E3EC" w14:textId="604631DD" w14:noSpellErr="1">
      <w:pPr>
        <w:numPr>
          <w:ilvl w:val="2"/>
          <w:numId w:val="2"/>
        </w:numPr>
        <w:ind w:right="144"/>
        <w:rPr/>
      </w:pPr>
      <w:r w:rsidR="6156CAFD">
        <w:rPr/>
        <w:t>Rest breaks for live assessments</w:t>
      </w:r>
    </w:p>
    <w:p w:rsidR="2FDBC2C1" w:rsidP="5255A0A3" w:rsidRDefault="2FDBC2C1" w14:paraId="42173E08" w14:textId="17117B58" w14:noSpellErr="1">
      <w:pPr>
        <w:numPr>
          <w:ilvl w:val="2"/>
          <w:numId w:val="2"/>
        </w:numPr>
        <w:ind w:right="144"/>
        <w:rPr/>
      </w:pPr>
      <w:r w:rsidR="6156CAFD">
        <w:rPr/>
        <w:t>Other exam arrangements (such as use of a computer)</w:t>
      </w:r>
    </w:p>
    <w:p w:rsidR="00B62CEA" w:rsidP="00DA7899" w:rsidRDefault="005437BF" w14:paraId="59539411" w14:textId="119F17CD">
      <w:pPr>
        <w:numPr>
          <w:ilvl w:val="2"/>
          <w:numId w:val="2"/>
        </w:numPr>
        <w:ind w:right="144"/>
      </w:pPr>
      <w:r>
        <w:t xml:space="preserve">Coloured paper/overlays </w:t>
      </w:r>
      <w:r w:rsidR="63DF5F56">
        <w:t>(overlays to be provided by the student)</w:t>
      </w:r>
    </w:p>
    <w:p w:rsidR="00B62CEA" w:rsidRDefault="005437BF" w14:paraId="7664285D" w14:textId="77777777">
      <w:pPr>
        <w:spacing w:after="0" w:line="259" w:lineRule="auto"/>
        <w:ind w:left="0" w:right="0" w:firstLine="0"/>
      </w:pPr>
      <w:r>
        <w:rPr>
          <w:rFonts w:ascii="Cambria" w:hAnsi="Cambria" w:eastAsia="Cambria" w:cs="Cambria"/>
          <w:sz w:val="26"/>
        </w:rPr>
        <w:t xml:space="preserve"> </w:t>
      </w:r>
    </w:p>
    <w:p w:rsidR="00B62CEA" w:rsidRDefault="005437BF" w14:paraId="7B6D6FF8" w14:textId="2AC69B24">
      <w:pPr>
        <w:numPr>
          <w:ilvl w:val="1"/>
          <w:numId w:val="1"/>
        </w:numPr>
        <w:ind w:left="1269" w:right="144"/>
      </w:pPr>
      <w:r>
        <w:t xml:space="preserve">The School of Higher Education Secretary will add the student’s details to the </w:t>
      </w:r>
      <w:r w:rsidR="003877A2">
        <w:t>r</w:t>
      </w:r>
      <w:r w:rsidR="00857F5B">
        <w:t xml:space="preserve">easonable </w:t>
      </w:r>
      <w:r w:rsidR="003877A2">
        <w:t>a</w:t>
      </w:r>
      <w:r w:rsidR="00857F5B">
        <w:t>djustments</w:t>
      </w:r>
      <w:r>
        <w:t xml:space="preserve"> Register and write to the student to advise of the outcome and any </w:t>
      </w:r>
      <w:r w:rsidR="003877A2">
        <w:t>r</w:t>
      </w:r>
      <w:r w:rsidR="00857F5B">
        <w:t xml:space="preserve">easonable </w:t>
      </w:r>
      <w:r w:rsidR="003877A2">
        <w:t>a</w:t>
      </w:r>
      <w:r w:rsidR="00857F5B">
        <w:t>djustments</w:t>
      </w:r>
      <w:r>
        <w:t xml:space="preserve"> they have been granted.   </w:t>
      </w:r>
    </w:p>
    <w:p w:rsidR="00B62CEA" w:rsidRDefault="005437BF" w14:paraId="306D646C" w14:textId="77777777">
      <w:pPr>
        <w:spacing w:after="0" w:line="259" w:lineRule="auto"/>
        <w:ind w:left="0" w:right="0" w:firstLine="0"/>
      </w:pPr>
      <w:r>
        <w:rPr>
          <w:rFonts w:ascii="Cambria" w:hAnsi="Cambria" w:eastAsia="Cambria" w:cs="Cambria"/>
          <w:sz w:val="26"/>
        </w:rPr>
        <w:t xml:space="preserve"> </w:t>
      </w:r>
    </w:p>
    <w:p w:rsidR="00B62CEA" w:rsidRDefault="005437BF" w14:paraId="6FB2494A" w14:textId="0143D908" w14:noSpellErr="1">
      <w:pPr>
        <w:numPr>
          <w:ilvl w:val="1"/>
          <w:numId w:val="1"/>
        </w:numPr>
        <w:ind w:left="1269" w:right="144"/>
        <w:rPr/>
      </w:pPr>
      <w:r w:rsidR="005437BF">
        <w:rPr/>
        <w:t xml:space="preserve">The School of Higher Education Secretary will notify the relevant </w:t>
      </w:r>
      <w:bookmarkStart w:name="_Int_STeF1BgP" w:id="4"/>
      <w:r w:rsidR="22228B75">
        <w:rPr/>
        <w:t xml:space="preserve">HEDM </w:t>
      </w:r>
      <w:bookmarkEnd w:id="4"/>
      <w:r w:rsidR="005437BF">
        <w:rPr/>
        <w:t xml:space="preserve">/Programme Manager and Course Leader of any </w:t>
      </w:r>
      <w:r w:rsidR="0BD2D031">
        <w:rPr/>
        <w:t>r</w:t>
      </w:r>
      <w:r w:rsidR="6696AF84">
        <w:rPr/>
        <w:t xml:space="preserve">easonable </w:t>
      </w:r>
      <w:r w:rsidR="0BD2D031">
        <w:rPr/>
        <w:t>a</w:t>
      </w:r>
      <w:r w:rsidR="6696AF84">
        <w:rPr/>
        <w:t>djustments</w:t>
      </w:r>
      <w:r w:rsidR="005437BF">
        <w:rPr/>
        <w:t xml:space="preserve"> that are granted. </w:t>
      </w:r>
    </w:p>
    <w:p w:rsidR="00B62CEA" w:rsidRDefault="005437BF" w14:paraId="25B295B8" w14:textId="77777777">
      <w:pPr>
        <w:spacing w:after="0" w:line="259" w:lineRule="auto"/>
        <w:ind w:left="0" w:right="0" w:firstLine="0"/>
      </w:pPr>
      <w:r>
        <w:rPr>
          <w:rFonts w:ascii="Cambria" w:hAnsi="Cambria" w:eastAsia="Cambria" w:cs="Cambria"/>
          <w:sz w:val="26"/>
        </w:rPr>
        <w:t xml:space="preserve"> </w:t>
      </w:r>
    </w:p>
    <w:p w:rsidR="00B62CEA" w:rsidRDefault="005437BF" w14:paraId="4F2674CE" w14:textId="2A24BBD7">
      <w:pPr>
        <w:numPr>
          <w:ilvl w:val="1"/>
          <w:numId w:val="1"/>
        </w:numPr>
        <w:ind w:left="1269" w:right="144"/>
      </w:pPr>
      <w:r>
        <w:t xml:space="preserve">The relevant </w:t>
      </w:r>
      <w:r w:rsidR="00857F5B">
        <w:t>HEDM</w:t>
      </w:r>
      <w:r>
        <w:t xml:space="preserve">/Programme Manager and Course Leader will ensure that the necessary arrangements are put in place for any </w:t>
      </w:r>
      <w:r w:rsidR="003877A2">
        <w:t>r</w:t>
      </w:r>
      <w:r w:rsidR="00857F5B">
        <w:t xml:space="preserve">easonable </w:t>
      </w:r>
      <w:r w:rsidR="003877A2">
        <w:t>a</w:t>
      </w:r>
      <w:r w:rsidR="00857F5B">
        <w:t>djustments</w:t>
      </w:r>
      <w:r>
        <w:t xml:space="preserve"> that relate to their students. </w:t>
      </w:r>
    </w:p>
    <w:p w:rsidR="00B62CEA" w:rsidRDefault="005437BF" w14:paraId="115BEF2F" w14:textId="77777777">
      <w:pPr>
        <w:spacing w:after="0" w:line="259" w:lineRule="auto"/>
        <w:ind w:left="0" w:right="0" w:firstLine="0"/>
      </w:pPr>
      <w:r>
        <w:rPr>
          <w:rFonts w:ascii="Cambria" w:hAnsi="Cambria" w:eastAsia="Cambria" w:cs="Cambria"/>
          <w:sz w:val="26"/>
        </w:rPr>
        <w:t xml:space="preserve"> </w:t>
      </w:r>
    </w:p>
    <w:p w:rsidR="00B62CEA" w:rsidRDefault="005437BF" w14:paraId="0EF3AA94" w14:textId="5E46E5F8">
      <w:pPr>
        <w:numPr>
          <w:ilvl w:val="1"/>
          <w:numId w:val="1"/>
        </w:numPr>
        <w:ind w:left="1269" w:right="144"/>
      </w:pPr>
      <w:r>
        <w:t xml:space="preserve">The HE Office will update ATS with any SpLD </w:t>
      </w:r>
      <w:r w:rsidR="00857F5B">
        <w:t>Reasonable Adjustments</w:t>
      </w:r>
      <w:r>
        <w:t xml:space="preserve"> (pink sheets). </w:t>
      </w:r>
    </w:p>
    <w:p w:rsidR="00B62CEA" w:rsidRDefault="005437BF" w14:paraId="34E3B4B3" w14:textId="77777777">
      <w:pPr>
        <w:spacing w:after="0" w:line="259" w:lineRule="auto"/>
        <w:ind w:left="0" w:right="0" w:firstLine="0"/>
      </w:pPr>
      <w:r>
        <w:rPr>
          <w:rFonts w:ascii="Cambria" w:hAnsi="Cambria" w:eastAsia="Cambria" w:cs="Cambria"/>
          <w:sz w:val="26"/>
        </w:rPr>
        <w:t xml:space="preserve"> </w:t>
      </w:r>
    </w:p>
    <w:p w:rsidR="00B62CEA" w:rsidRDefault="005437BF" w14:paraId="1E981511" w14:textId="60F14424">
      <w:pPr>
        <w:numPr>
          <w:ilvl w:val="1"/>
          <w:numId w:val="1"/>
        </w:numPr>
        <w:ind w:left="1269" w:right="144"/>
      </w:pPr>
      <w:r>
        <w:t xml:space="preserve">The HE Office will inform the Secretary to the Module Assessment, Referral, or Awards Board to ensure that all </w:t>
      </w:r>
      <w:r w:rsidR="00857F5B">
        <w:t>reasonable adjustments</w:t>
      </w:r>
      <w:r>
        <w:t xml:space="preserve"> are reported to the Assessment Board to which they relate. </w:t>
      </w:r>
    </w:p>
    <w:p w:rsidR="00B62CEA" w:rsidRDefault="005437BF" w14:paraId="4B6CDF14" w14:textId="77777777">
      <w:pPr>
        <w:spacing w:after="0" w:line="321" w:lineRule="auto"/>
        <w:ind w:left="0" w:right="9020" w:firstLine="0"/>
      </w:pPr>
      <w:r>
        <w:rPr>
          <w:sz w:val="22"/>
        </w:rPr>
        <w:t xml:space="preserve">  </w:t>
      </w:r>
      <w:r>
        <w:rPr>
          <w:rFonts w:ascii="Cambria" w:hAnsi="Cambria" w:eastAsia="Cambria" w:cs="Cambria"/>
        </w:rPr>
        <w:t xml:space="preserve"> </w:t>
      </w:r>
    </w:p>
    <w:sectPr w:rsidR="00B62CEA">
      <w:footerReference w:type="even" r:id="rId11"/>
      <w:footerReference w:type="default" r:id="rId12"/>
      <w:footerReference w:type="first" r:id="rId13"/>
      <w:pgSz w:w="11906" w:h="16838" w:orient="portrait"/>
      <w:pgMar w:top="763" w:right="1385" w:bottom="66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B1B" w:rsidRDefault="00285B1B" w14:paraId="11A13023" w14:textId="77777777">
      <w:pPr>
        <w:spacing w:after="0" w:line="240" w:lineRule="auto"/>
      </w:pPr>
      <w:r>
        <w:separator/>
      </w:r>
    </w:p>
  </w:endnote>
  <w:endnote w:type="continuationSeparator" w:id="0">
    <w:p w:rsidR="00285B1B" w:rsidRDefault="00285B1B" w14:paraId="41758FA1" w14:textId="77777777">
      <w:pPr>
        <w:spacing w:after="0" w:line="240" w:lineRule="auto"/>
      </w:pPr>
      <w:r>
        <w:continuationSeparator/>
      </w:r>
    </w:p>
  </w:endnote>
  <w:endnote w:type="continuationNotice" w:id="1">
    <w:p w:rsidR="00285B1B" w:rsidRDefault="00285B1B" w14:paraId="5602FB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EA" w:rsidRDefault="005437BF" w14:paraId="6BC35643" w14:textId="77777777">
    <w:pPr>
      <w:spacing w:after="0" w:line="259" w:lineRule="auto"/>
      <w:ind w:left="0" w:right="5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EA" w:rsidRDefault="005437BF" w14:paraId="572CD875" w14:textId="77777777">
    <w:pPr>
      <w:spacing w:after="0" w:line="259" w:lineRule="auto"/>
      <w:ind w:left="0" w:right="5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EA" w:rsidRDefault="00B62CEA" w14:paraId="2E06CC03" w14:textId="7777777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B1B" w:rsidRDefault="00285B1B" w14:paraId="5688E084" w14:textId="77777777">
      <w:pPr>
        <w:spacing w:after="0" w:line="240" w:lineRule="auto"/>
      </w:pPr>
      <w:r>
        <w:separator/>
      </w:r>
    </w:p>
  </w:footnote>
  <w:footnote w:type="continuationSeparator" w:id="0">
    <w:p w:rsidR="00285B1B" w:rsidRDefault="00285B1B" w14:paraId="6C78DDC7" w14:textId="77777777">
      <w:pPr>
        <w:spacing w:after="0" w:line="240" w:lineRule="auto"/>
      </w:pPr>
      <w:r>
        <w:continuationSeparator/>
      </w:r>
    </w:p>
  </w:footnote>
  <w:footnote w:type="continuationNotice" w:id="1">
    <w:p w:rsidR="00285B1B" w:rsidRDefault="00285B1B" w14:paraId="1CA6B75F"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8PhEwDv" int2:invalidationBookmarkName="" int2:hashCode="SVtrU7mNXlQq8p" int2:id="8CwJNeXt">
      <int2:state int2:value="Rejected" int2:type="AugLoop_Acronyms_AcronymsCritique"/>
    </int2:bookmark>
    <int2:bookmark int2:bookmarkName="_Int_xuypv9A3" int2:invalidationBookmarkName="" int2:hashCode="oEuf2+DOTlx6zC" int2:id="8dVceRTj">
      <int2:state int2:value="Rejected" int2:type="AugLoop_Acronyms_AcronymsCritique"/>
    </int2:bookmark>
    <int2:bookmark int2:bookmarkName="_Int_0uz8wcbr" int2:invalidationBookmarkName="" int2:hashCode="8InxOgTPxlRslN" int2:id="M5ANzeJA">
      <int2:state int2:value="Rejected" int2:type="AugLoop_Acronyms_AcronymsCritique"/>
    </int2:bookmark>
    <int2:bookmark int2:bookmarkName="_Int_STeF1BgP" int2:invalidationBookmarkName="" int2:hashCode="TCFUJfumYwZC6S" int2:id="i1Rov5oC"/>
    <int2:bookmark int2:bookmarkName="_Int_y3SYlX9j" int2:invalidationBookmarkName="" int2:hashCode="H2INqAjTxV3/gP" int2:id="vDYfYY7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77F0"/>
    <w:multiLevelType w:val="multilevel"/>
    <w:tmpl w:val="DCDEBF7A"/>
    <w:lvl w:ilvl="0">
      <w:start w:val="4"/>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start w:val="6"/>
      <w:numFmt w:val="decimal"/>
      <w:lvlText w:val="%1.%2"/>
      <w:lvlJc w:val="left"/>
      <w:pPr>
        <w:ind w:left="9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start w:val="1"/>
      <w:numFmt w:val="bullet"/>
      <w:lvlText w:val=""/>
      <w:lvlJc w:val="left"/>
      <w:pPr>
        <w:ind w:left="1606" w:hanging="360"/>
      </w:pPr>
      <w:rPr>
        <w:rFonts w:hint="default" w:ascii="Symbol" w:hAnsi="Symbol"/>
      </w:rPr>
    </w:lvl>
    <w:lvl w:ilvl="3">
      <w:start w:val="1"/>
      <w:numFmt w:val="decimal"/>
      <w:lvlText w:val="%4"/>
      <w:lvlJc w:val="left"/>
      <w:pPr>
        <w:ind w:left="23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30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7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44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52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59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4ACE1405"/>
    <w:multiLevelType w:val="multilevel"/>
    <w:tmpl w:val="4B100210"/>
    <w:lvl w:ilvl="0">
      <w:start w:val="1"/>
      <w:numFmt w:val="decimal"/>
      <w:lvlText w:val="%1."/>
      <w:lvlJc w:val="left"/>
      <w:pPr>
        <w:ind w:left="7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start w:val="1"/>
      <w:numFmt w:val="decimal"/>
      <w:lvlText w:val="%1.%2."/>
      <w:lvlJc w:val="left"/>
      <w:pPr>
        <w:ind w:left="12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start w:val="1"/>
      <w:numFmt w:val="lowerRoman"/>
      <w:lvlText w:val="%3"/>
      <w:lvlJc w:val="left"/>
      <w:pPr>
        <w:ind w:left="17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start w:val="1"/>
      <w:numFmt w:val="decimal"/>
      <w:lvlText w:val="%4"/>
      <w:lvlJc w:val="left"/>
      <w:pPr>
        <w:ind w:left="24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31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9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46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53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60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num w:numId="1" w16cid:durableId="791168282">
    <w:abstractNumId w:val="1"/>
  </w:num>
  <w:num w:numId="2" w16cid:durableId="9376370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EA"/>
    <w:rsid w:val="00023998"/>
    <w:rsid w:val="0009767F"/>
    <w:rsid w:val="000A453A"/>
    <w:rsid w:val="00105916"/>
    <w:rsid w:val="001D0A58"/>
    <w:rsid w:val="001D135E"/>
    <w:rsid w:val="0022793D"/>
    <w:rsid w:val="00285B1B"/>
    <w:rsid w:val="00355835"/>
    <w:rsid w:val="003877A2"/>
    <w:rsid w:val="0042553C"/>
    <w:rsid w:val="004267D4"/>
    <w:rsid w:val="0047022D"/>
    <w:rsid w:val="004826AC"/>
    <w:rsid w:val="004D3DD2"/>
    <w:rsid w:val="0050176B"/>
    <w:rsid w:val="005437BF"/>
    <w:rsid w:val="0060780C"/>
    <w:rsid w:val="00674BDF"/>
    <w:rsid w:val="006E2C51"/>
    <w:rsid w:val="007248F2"/>
    <w:rsid w:val="00754C58"/>
    <w:rsid w:val="007B2B72"/>
    <w:rsid w:val="00845EB2"/>
    <w:rsid w:val="00857F5B"/>
    <w:rsid w:val="0086195F"/>
    <w:rsid w:val="008785A4"/>
    <w:rsid w:val="008C0CF4"/>
    <w:rsid w:val="00960196"/>
    <w:rsid w:val="009B0FCA"/>
    <w:rsid w:val="009E4224"/>
    <w:rsid w:val="009F5EA2"/>
    <w:rsid w:val="00A038D2"/>
    <w:rsid w:val="00A1131F"/>
    <w:rsid w:val="00A17AC9"/>
    <w:rsid w:val="00A17D87"/>
    <w:rsid w:val="00A46095"/>
    <w:rsid w:val="00AA0A85"/>
    <w:rsid w:val="00AB2DA9"/>
    <w:rsid w:val="00AF1953"/>
    <w:rsid w:val="00B018A1"/>
    <w:rsid w:val="00B62CEA"/>
    <w:rsid w:val="00B94FDF"/>
    <w:rsid w:val="00B97D58"/>
    <w:rsid w:val="00BB1CAC"/>
    <w:rsid w:val="00C00CB2"/>
    <w:rsid w:val="00D40BA5"/>
    <w:rsid w:val="00D94DBF"/>
    <w:rsid w:val="00DA7899"/>
    <w:rsid w:val="00DD64F3"/>
    <w:rsid w:val="00DE2F49"/>
    <w:rsid w:val="00E36043"/>
    <w:rsid w:val="00E42648"/>
    <w:rsid w:val="00E95327"/>
    <w:rsid w:val="00ED371D"/>
    <w:rsid w:val="00F23432"/>
    <w:rsid w:val="014210EF"/>
    <w:rsid w:val="061F20EF"/>
    <w:rsid w:val="0BD2D031"/>
    <w:rsid w:val="0C9CE55B"/>
    <w:rsid w:val="0E0F3DB7"/>
    <w:rsid w:val="109F4E2E"/>
    <w:rsid w:val="11C1EDD8"/>
    <w:rsid w:val="13F1A1F9"/>
    <w:rsid w:val="19570477"/>
    <w:rsid w:val="1B1F264A"/>
    <w:rsid w:val="22228B75"/>
    <w:rsid w:val="24C60890"/>
    <w:rsid w:val="2BB975F7"/>
    <w:rsid w:val="2DE84692"/>
    <w:rsid w:val="2FDBC2C1"/>
    <w:rsid w:val="3C260874"/>
    <w:rsid w:val="45190744"/>
    <w:rsid w:val="464D8C84"/>
    <w:rsid w:val="4EB29735"/>
    <w:rsid w:val="4FD38212"/>
    <w:rsid w:val="50084808"/>
    <w:rsid w:val="51EA37F7"/>
    <w:rsid w:val="5255A0A3"/>
    <w:rsid w:val="554CBCC7"/>
    <w:rsid w:val="5CE9AB1B"/>
    <w:rsid w:val="5D6854E2"/>
    <w:rsid w:val="6086629A"/>
    <w:rsid w:val="6156CAFD"/>
    <w:rsid w:val="61D9AE41"/>
    <w:rsid w:val="63DF5F56"/>
    <w:rsid w:val="653FEA09"/>
    <w:rsid w:val="66328861"/>
    <w:rsid w:val="6696AF84"/>
    <w:rsid w:val="6A024BDD"/>
    <w:rsid w:val="72D324F9"/>
    <w:rsid w:val="7BF75AB8"/>
    <w:rsid w:val="7C25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7428"/>
  <w15:docId w15:val="{D31501F5-C794-41C7-9893-D467BC5D9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0" w:lineRule="auto"/>
      <w:ind w:left="1255" w:right="124" w:hanging="576"/>
    </w:pPr>
    <w:rPr>
      <w:rFonts w:ascii="Arial" w:hAnsi="Arial" w:eastAsia="Arial" w:cs="Arial"/>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857F5B"/>
    <w:rPr>
      <w:sz w:val="16"/>
      <w:szCs w:val="16"/>
    </w:rPr>
  </w:style>
  <w:style w:type="paragraph" w:styleId="CommentText">
    <w:name w:val="annotation text"/>
    <w:basedOn w:val="Normal"/>
    <w:link w:val="CommentTextChar"/>
    <w:uiPriority w:val="99"/>
    <w:semiHidden/>
    <w:unhideWhenUsed/>
    <w:rsid w:val="00857F5B"/>
    <w:pPr>
      <w:spacing w:line="240" w:lineRule="auto"/>
    </w:pPr>
    <w:rPr>
      <w:sz w:val="20"/>
      <w:szCs w:val="20"/>
    </w:rPr>
  </w:style>
  <w:style w:type="character" w:styleId="CommentTextChar" w:customStyle="1">
    <w:name w:val="Comment Text Char"/>
    <w:basedOn w:val="DefaultParagraphFont"/>
    <w:link w:val="CommentText"/>
    <w:uiPriority w:val="99"/>
    <w:semiHidden/>
    <w:rsid w:val="00857F5B"/>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857F5B"/>
    <w:rPr>
      <w:b/>
      <w:bCs/>
    </w:rPr>
  </w:style>
  <w:style w:type="character" w:styleId="CommentSubjectChar" w:customStyle="1">
    <w:name w:val="Comment Subject Char"/>
    <w:basedOn w:val="CommentTextChar"/>
    <w:link w:val="CommentSubject"/>
    <w:uiPriority w:val="99"/>
    <w:semiHidden/>
    <w:rsid w:val="00857F5B"/>
    <w:rPr>
      <w:rFonts w:ascii="Arial" w:hAnsi="Arial" w:eastAsia="Arial" w:cs="Arial"/>
      <w:b/>
      <w:bCs/>
      <w:color w:val="000000"/>
      <w:sz w:val="20"/>
      <w:szCs w:val="20"/>
    </w:rPr>
  </w:style>
  <w:style w:type="paragraph" w:styleId="Header">
    <w:name w:val="header"/>
    <w:basedOn w:val="Normal"/>
    <w:link w:val="HeaderChar"/>
    <w:uiPriority w:val="99"/>
    <w:semiHidden/>
    <w:unhideWhenUsed/>
    <w:rsid w:val="009F5EA2"/>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F5EA2"/>
    <w:rPr>
      <w:rFonts w:ascii="Arial" w:hAnsi="Arial" w:eastAsia="Arial" w:cs="Arial"/>
      <w:color w:val="000000"/>
      <w:sz w:val="24"/>
    </w:rPr>
  </w:style>
  <w:style w:type="paragraph" w:styleId="Footer">
    <w:name w:val="footer"/>
    <w:basedOn w:val="Normal"/>
    <w:link w:val="FooterChar"/>
    <w:uiPriority w:val="99"/>
    <w:semiHidden/>
    <w:unhideWhenUsed/>
    <w:rsid w:val="009F5EA2"/>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F5EA2"/>
    <w:rPr>
      <w:rFonts w:ascii="Arial" w:hAnsi="Arial" w:eastAsia="Arial" w:cs="Arial"/>
      <w:color w:val="000000"/>
      <w:sz w:val="24"/>
    </w:rPr>
  </w:style>
  <w:style w:type="table" w:styleId="TableGrid1" w:customStyle="1">
    <w:name w:val="Table Grid1"/>
    <w:rsid w:val="009F5EA2"/>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1131F"/>
    <w:pPr>
      <w:spacing w:after="0" w:line="240" w:lineRule="auto"/>
    </w:pPr>
    <w:rPr>
      <w:rFonts w:ascii="Arial" w:hAnsi="Arial" w:eastAsia="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BD1AE3B03C744AEC604E6EAFE7C8B" ma:contentTypeVersion="6" ma:contentTypeDescription="Create a new document." ma:contentTypeScope="" ma:versionID="09c67d9794656df4f2a6ca063addaba7">
  <xsd:schema xmlns:xsd="http://www.w3.org/2001/XMLSchema" xmlns:xs="http://www.w3.org/2001/XMLSchema" xmlns:p="http://schemas.microsoft.com/office/2006/metadata/properties" xmlns:ns2="f5891e6a-483e-460e-b59f-f6b457cd9331" xmlns:ns3="3fba97ce-ed9f-4f95-b69a-00b7a62766d2" targetNamespace="http://schemas.microsoft.com/office/2006/metadata/properties" ma:root="true" ma:fieldsID="be47552dfcf3e85c57af6fc01b88a6f7" ns2:_="" ns3:_="">
    <xsd:import namespace="f5891e6a-483e-460e-b59f-f6b457cd9331"/>
    <xsd:import namespace="3fba97ce-ed9f-4f95-b69a-00b7a6276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91e6a-483e-460e-b59f-f6b457cd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a97ce-ed9f-4f95-b69a-00b7a6276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5067B-31A6-4415-9DFF-DA014A1B5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F6C61-DF7C-4434-96F3-DF4E2E3584CF}">
  <ds:schemaRefs>
    <ds:schemaRef ds:uri="http://schemas.microsoft.com/sharepoint/v3/contenttype/forms"/>
  </ds:schemaRefs>
</ds:datastoreItem>
</file>

<file path=customXml/itemProps3.xml><?xml version="1.0" encoding="utf-8"?>
<ds:datastoreItem xmlns:ds="http://schemas.openxmlformats.org/officeDocument/2006/customXml" ds:itemID="{0FCA7B94-5A54-411A-9C20-080C669D8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91e6a-483e-460e-b59f-f6b457cd9331"/>
    <ds:schemaRef ds:uri="3fba97ce-ed9f-4f95-b69a-00b7a6276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Privacy notice for staff - CCN</dc:title>
  <dc:subject/>
  <dc:creator>Stephen Geraghty</dc:creator>
  <keywords/>
  <lastModifiedBy>Samantha Ratcliffe</lastModifiedBy>
  <revision>38</revision>
  <dcterms:created xsi:type="dcterms:W3CDTF">2021-12-18T05:33:00.0000000Z</dcterms:created>
  <dcterms:modified xsi:type="dcterms:W3CDTF">2022-09-09T09:53:00.0106309Z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0x01010016DBD1AE3B03C744AEC604E6EAFE7C8B</vt:lpwstr>
  </property>
</Properties>
</file>